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0F9D" w14:textId="024AFFC8" w:rsidR="004F533D" w:rsidRDefault="00764DE1" w:rsidP="00220432">
      <w:pPr>
        <w:jc w:val="both"/>
        <w:rPr>
          <w:b/>
        </w:rPr>
      </w:pPr>
      <w:r w:rsidRPr="00764DE1">
        <w:rPr>
          <w:b/>
        </w:rPr>
        <w:t>Intérêt du monépantel en filières laitières ovine et caprine</w:t>
      </w:r>
    </w:p>
    <w:p w14:paraId="552430DF" w14:textId="74657FAD" w:rsidR="00BA5CF4" w:rsidRPr="00764DE1" w:rsidRDefault="00BA5CF4" w:rsidP="00220432">
      <w:pPr>
        <w:jc w:val="both"/>
        <w:rPr>
          <w:b/>
        </w:rPr>
      </w:pPr>
      <w:r>
        <w:rPr>
          <w:b/>
        </w:rPr>
        <w:t>Rédacteurs : CC, PJ, CP, LB</w:t>
      </w:r>
    </w:p>
    <w:p w14:paraId="5B86CF9A" w14:textId="77777777" w:rsidR="00764DE1" w:rsidRDefault="00764DE1" w:rsidP="00220432">
      <w:pPr>
        <w:jc w:val="both"/>
      </w:pPr>
    </w:p>
    <w:p w14:paraId="5DD7316B" w14:textId="77777777" w:rsidR="00764DE1" w:rsidRPr="0006723E" w:rsidRDefault="00764DE1" w:rsidP="00220432">
      <w:pPr>
        <w:jc w:val="both"/>
        <w:rPr>
          <w:u w:val="single"/>
        </w:rPr>
      </w:pPr>
      <w:r w:rsidRPr="0006723E">
        <w:rPr>
          <w:u w:val="single"/>
        </w:rPr>
        <w:t xml:space="preserve">Etat des résistances des strongles gastro-intestinaux </w:t>
      </w:r>
      <w:r w:rsidR="00BF09C9">
        <w:rPr>
          <w:u w:val="single"/>
        </w:rPr>
        <w:t xml:space="preserve">(SGI) </w:t>
      </w:r>
      <w:r w:rsidR="00120AB1" w:rsidRPr="0006723E">
        <w:rPr>
          <w:u w:val="single"/>
        </w:rPr>
        <w:t xml:space="preserve">aux anthelminthiques </w:t>
      </w:r>
      <w:r w:rsidRPr="0006723E">
        <w:rPr>
          <w:u w:val="single"/>
        </w:rPr>
        <w:t>en Europe et en France</w:t>
      </w:r>
    </w:p>
    <w:p w14:paraId="238FB3FC" w14:textId="2FDB6DB8" w:rsidR="00764DE1" w:rsidRPr="00120AB1" w:rsidRDefault="00120AB1" w:rsidP="00220432">
      <w:pPr>
        <w:jc w:val="both"/>
      </w:pPr>
      <w:r w:rsidRPr="00120AB1">
        <w:t xml:space="preserve">La résistance aux anthelminthiques </w:t>
      </w:r>
      <w:r>
        <w:t xml:space="preserve">(AH) </w:t>
      </w:r>
      <w:r w:rsidRPr="00120AB1">
        <w:t xml:space="preserve">est un problème très sérieux chez les ovins et caprins dans le monde </w:t>
      </w:r>
      <w:r w:rsidR="009C5C75">
        <w:t>avec notamment le signalement</w:t>
      </w:r>
      <w:r w:rsidRPr="00120AB1">
        <w:t xml:space="preserve"> de souches d’</w:t>
      </w:r>
      <w:r w:rsidRPr="00120AB1">
        <w:rPr>
          <w:i/>
        </w:rPr>
        <w:t>H</w:t>
      </w:r>
      <w:r w:rsidR="0006723E">
        <w:rPr>
          <w:i/>
        </w:rPr>
        <w:t>aemonchus</w:t>
      </w:r>
      <w:r w:rsidRPr="00120AB1">
        <w:rPr>
          <w:i/>
        </w:rPr>
        <w:t xml:space="preserve"> contortus </w:t>
      </w:r>
      <w:r w:rsidRPr="00120AB1">
        <w:t xml:space="preserve">résistantes à la quasi-totalité des AH existants </w:t>
      </w:r>
      <w:r w:rsidR="0006723E">
        <w:t>(Paraud et Chartier, 2017)</w:t>
      </w:r>
      <w:r>
        <w:t xml:space="preserve">. </w:t>
      </w:r>
      <w:r w:rsidR="009C5C75">
        <w:t>Pour ce qui est de l</w:t>
      </w:r>
      <w:r w:rsidR="009C5C75">
        <w:tab/>
        <w:t xml:space="preserve">‘Europe, </w:t>
      </w:r>
      <w:r>
        <w:t>une</w:t>
      </w:r>
      <w:r w:rsidR="00220432">
        <w:t xml:space="preserve"> </w:t>
      </w:r>
      <w:r>
        <w:t>méta-analyse récente intégrant 197 publications</w:t>
      </w:r>
      <w:r w:rsidR="004242AD">
        <w:t xml:space="preserve"> et 22 pays </w:t>
      </w:r>
      <w:r w:rsidR="009C5C75">
        <w:t>a montré que</w:t>
      </w:r>
      <w:r w:rsidR="004242AD">
        <w:t xml:space="preserve"> la prévalence moyenne de la résistance aux AH chez les ovins et les caprins </w:t>
      </w:r>
      <w:r w:rsidR="009C5C75">
        <w:t xml:space="preserve">pouvait être </w:t>
      </w:r>
      <w:r w:rsidR="004242AD">
        <w:t>estimée sur la période 2010-2020 à 86 % pour les benzimidazoles</w:t>
      </w:r>
      <w:r w:rsidR="009C5C75">
        <w:t xml:space="preserve"> (BZD)</w:t>
      </w:r>
      <w:r w:rsidR="004242AD">
        <w:t xml:space="preserve">, 52 % pour les avermectines, 48 % pour le </w:t>
      </w:r>
      <w:proofErr w:type="spellStart"/>
      <w:r w:rsidR="004242AD">
        <w:t>lévamisole</w:t>
      </w:r>
      <w:proofErr w:type="spellEnd"/>
      <w:r w:rsidR="004242AD">
        <w:t xml:space="preserve"> </w:t>
      </w:r>
      <w:r w:rsidR="00BD4006">
        <w:t xml:space="preserve">(LEV) </w:t>
      </w:r>
      <w:r w:rsidR="004242AD">
        <w:t xml:space="preserve">et 21 % pour la </w:t>
      </w:r>
      <w:proofErr w:type="spellStart"/>
      <w:r w:rsidR="004242AD">
        <w:t>moxidectine</w:t>
      </w:r>
      <w:proofErr w:type="spellEnd"/>
      <w:r w:rsidR="0006723E">
        <w:t xml:space="preserve"> (Rose </w:t>
      </w:r>
      <w:proofErr w:type="spellStart"/>
      <w:r w:rsidR="0006723E">
        <w:t>Vineer</w:t>
      </w:r>
      <w:proofErr w:type="spellEnd"/>
      <w:r w:rsidR="0006723E">
        <w:t xml:space="preserve"> et al., 2020)</w:t>
      </w:r>
      <w:r w:rsidR="004242AD">
        <w:t xml:space="preserve">. </w:t>
      </w:r>
      <w:r w:rsidR="009C5C75">
        <w:t>En</w:t>
      </w:r>
      <w:r w:rsidR="0091007C">
        <w:t xml:space="preserve"> France,</w:t>
      </w:r>
      <w:r w:rsidRPr="00120AB1">
        <w:t xml:space="preserve"> </w:t>
      </w:r>
      <w:r w:rsidR="0091007C">
        <w:t>l</w:t>
      </w:r>
      <w:r w:rsidRPr="00120AB1">
        <w:t xml:space="preserve">es différentes enquêtes </w:t>
      </w:r>
      <w:r w:rsidRPr="00BA5CF4">
        <w:t>conduites (</w:t>
      </w:r>
      <w:r w:rsidR="0006723E" w:rsidRPr="00BA5CF4">
        <w:t>Tableau 1</w:t>
      </w:r>
      <w:r w:rsidRPr="00BA5CF4">
        <w:t>)</w:t>
      </w:r>
      <w:r w:rsidRPr="00120AB1">
        <w:t xml:space="preserve"> montrent des fréquences élevées de résistance à l’égard des </w:t>
      </w:r>
      <w:r w:rsidR="009C5C75">
        <w:t>BZD</w:t>
      </w:r>
      <w:r w:rsidRPr="00120AB1">
        <w:t xml:space="preserve"> chez les ovins (viande et lait) et chez les caprins</w:t>
      </w:r>
      <w:r w:rsidR="0006723E">
        <w:t xml:space="preserve"> (lait)</w:t>
      </w:r>
      <w:r w:rsidRPr="00120AB1">
        <w:t xml:space="preserve">, les parasites impliqués étant les </w:t>
      </w:r>
      <w:r w:rsidR="0006723E">
        <w:t>strongles gastro-intestinaux</w:t>
      </w:r>
      <w:r w:rsidRPr="00120AB1">
        <w:t xml:space="preserve"> les plus fréquents : </w:t>
      </w:r>
      <w:r w:rsidRPr="0006723E">
        <w:rPr>
          <w:i/>
        </w:rPr>
        <w:t>T</w:t>
      </w:r>
      <w:r w:rsidR="0006723E" w:rsidRPr="0006723E">
        <w:rPr>
          <w:i/>
        </w:rPr>
        <w:t>eladorsagia</w:t>
      </w:r>
      <w:r w:rsidRPr="0006723E">
        <w:rPr>
          <w:i/>
        </w:rPr>
        <w:t xml:space="preserve"> circumcincta</w:t>
      </w:r>
      <w:r w:rsidRPr="00120AB1">
        <w:t xml:space="preserve">, </w:t>
      </w:r>
      <w:r w:rsidRPr="0006723E">
        <w:rPr>
          <w:i/>
        </w:rPr>
        <w:t>T</w:t>
      </w:r>
      <w:r w:rsidR="0006723E" w:rsidRPr="0006723E">
        <w:rPr>
          <w:i/>
        </w:rPr>
        <w:t>richostrongylus</w:t>
      </w:r>
      <w:r w:rsidRPr="0006723E">
        <w:rPr>
          <w:i/>
        </w:rPr>
        <w:t xml:space="preserve"> colubriformis</w:t>
      </w:r>
      <w:r w:rsidRPr="00120AB1">
        <w:t xml:space="preserve"> et </w:t>
      </w:r>
      <w:r w:rsidRPr="0006723E">
        <w:rPr>
          <w:i/>
        </w:rPr>
        <w:t>H. contortus</w:t>
      </w:r>
      <w:r w:rsidR="0006723E">
        <w:rPr>
          <w:i/>
        </w:rPr>
        <w:t xml:space="preserve"> </w:t>
      </w:r>
      <w:r w:rsidR="0006723E">
        <w:t>(Chartier et al., 2020)</w:t>
      </w:r>
      <w:r w:rsidRPr="00120AB1">
        <w:t>.</w:t>
      </w:r>
      <w:r w:rsidR="0006723E">
        <w:t xml:space="preserve"> La résistance à l’égard des lactones macrocycliques </w:t>
      </w:r>
      <w:r w:rsidR="00BD4006">
        <w:t xml:space="preserve">(LM : </w:t>
      </w:r>
      <w:proofErr w:type="spellStart"/>
      <w:r w:rsidR="00BD4006">
        <w:t>avermectines</w:t>
      </w:r>
      <w:proofErr w:type="spellEnd"/>
      <w:r w:rsidR="00BD4006">
        <w:t xml:space="preserve"> + </w:t>
      </w:r>
      <w:proofErr w:type="spellStart"/>
      <w:r w:rsidR="00BD4006">
        <w:t>milbémycines</w:t>
      </w:r>
      <w:proofErr w:type="spellEnd"/>
      <w:r w:rsidR="00BD4006">
        <w:t xml:space="preserve">) </w:t>
      </w:r>
      <w:r w:rsidR="0006723E">
        <w:t>commence également à être bien documentée </w:t>
      </w:r>
      <w:r w:rsidR="00102EB4">
        <w:t xml:space="preserve">notamment en brebis et chèvres laitières dans les Pyrénées Atlantiques </w:t>
      </w:r>
      <w:r w:rsidR="0006723E">
        <w:t>(</w:t>
      </w:r>
      <w:r w:rsidR="00102EB4">
        <w:t>Bordes et al., 2020a</w:t>
      </w:r>
      <w:r w:rsidR="009C5C75">
        <w:t>. Toujours en France, d</w:t>
      </w:r>
      <w:r w:rsidRPr="00120AB1">
        <w:t xml:space="preserve">es signalements de bi-résistance </w:t>
      </w:r>
      <w:r w:rsidR="009C5C75">
        <w:t>BZD</w:t>
      </w:r>
      <w:r w:rsidRPr="00120AB1">
        <w:t>-</w:t>
      </w:r>
      <w:r w:rsidR="00BD4006">
        <w:t>LEV</w:t>
      </w:r>
      <w:r w:rsidRPr="00120AB1">
        <w:t xml:space="preserve"> </w:t>
      </w:r>
      <w:r w:rsidR="009C5C75" w:rsidRPr="00120AB1">
        <w:t>(</w:t>
      </w:r>
      <w:proofErr w:type="spellStart"/>
      <w:r w:rsidR="009C5C75" w:rsidRPr="00120AB1">
        <w:t>Paraud</w:t>
      </w:r>
      <w:proofErr w:type="spellEnd"/>
      <w:r w:rsidR="009C5C75" w:rsidRPr="00120AB1">
        <w:t xml:space="preserve"> et al., 2009</w:t>
      </w:r>
      <w:r w:rsidR="009C5C75">
        <w:t>) ou BZD-</w:t>
      </w:r>
      <w:r w:rsidR="00BD4006">
        <w:t>LM</w:t>
      </w:r>
      <w:r w:rsidR="00162BEB">
        <w:t xml:space="preserve"> (</w:t>
      </w:r>
      <w:proofErr w:type="spellStart"/>
      <w:r w:rsidR="00162BEB">
        <w:t>Paraud</w:t>
      </w:r>
      <w:proofErr w:type="spellEnd"/>
      <w:r w:rsidR="00162BEB">
        <w:t xml:space="preserve"> et al., 2016 ; </w:t>
      </w:r>
      <w:proofErr w:type="spellStart"/>
      <w:r w:rsidR="00162BEB">
        <w:t>Milhes</w:t>
      </w:r>
      <w:proofErr w:type="spellEnd"/>
      <w:r w:rsidR="00162BEB">
        <w:t xml:space="preserve"> et al., 2017 ; </w:t>
      </w:r>
      <w:proofErr w:type="spellStart"/>
      <w:r w:rsidR="000769F1">
        <w:t>Cazajous</w:t>
      </w:r>
      <w:proofErr w:type="spellEnd"/>
      <w:r w:rsidR="000769F1">
        <w:t xml:space="preserve"> et al., 2018</w:t>
      </w:r>
      <w:r w:rsidR="009C5C75">
        <w:t>) voire des tri-résistances BZD-</w:t>
      </w:r>
      <w:r w:rsidR="00162BEB">
        <w:t>LEV-LM</w:t>
      </w:r>
      <w:r w:rsidR="00D1624A">
        <w:t xml:space="preserve"> (</w:t>
      </w:r>
      <w:r w:rsidR="00102EB4">
        <w:t>Bordes et al., 2020</w:t>
      </w:r>
      <w:proofErr w:type="gramStart"/>
      <w:r w:rsidR="00102EB4">
        <w:t>b</w:t>
      </w:r>
      <w:r w:rsidR="009C5C75">
        <w:t xml:space="preserve">  )</w:t>
      </w:r>
      <w:proofErr w:type="gramEnd"/>
      <w:r w:rsidR="009C5C75">
        <w:t xml:space="preserve"> ont été publiées ces dernières années</w:t>
      </w:r>
      <w:r w:rsidRPr="00120AB1">
        <w:t>.</w:t>
      </w:r>
    </w:p>
    <w:p w14:paraId="5AF8836B" w14:textId="77777777" w:rsidR="00120AB1" w:rsidRPr="00120AB1" w:rsidRDefault="00120AB1" w:rsidP="00220432">
      <w:pPr>
        <w:jc w:val="both"/>
      </w:pPr>
    </w:p>
    <w:p w14:paraId="0AD6748B" w14:textId="77777777" w:rsidR="00764DE1" w:rsidRPr="0006723E" w:rsidRDefault="00764DE1" w:rsidP="00220432">
      <w:pPr>
        <w:jc w:val="both"/>
        <w:rPr>
          <w:u w:val="single"/>
        </w:rPr>
      </w:pPr>
      <w:r w:rsidRPr="0006723E">
        <w:rPr>
          <w:u w:val="single"/>
        </w:rPr>
        <w:t>Etat des usages des différentes familles d’anthelminthiques dans les filières considérées</w:t>
      </w:r>
    </w:p>
    <w:p w14:paraId="6041B5B6" w14:textId="77777777" w:rsidR="009C5C75" w:rsidRDefault="000B0A52" w:rsidP="00220432">
      <w:pPr>
        <w:jc w:val="both"/>
      </w:pPr>
      <w:r>
        <w:t>La situation des anthelminthiques dans les filières petits ruminants appelle plusieurs constats :</w:t>
      </w:r>
    </w:p>
    <w:p w14:paraId="53E4F051" w14:textId="77777777" w:rsidR="000B0A52" w:rsidRDefault="000B0A52" w:rsidP="00220432">
      <w:pPr>
        <w:pStyle w:val="Paragraphedeliste"/>
        <w:numPr>
          <w:ilvl w:val="0"/>
          <w:numId w:val="2"/>
        </w:numPr>
        <w:jc w:val="both"/>
      </w:pPr>
      <w:r>
        <w:t xml:space="preserve">Une disponibilité réduite des familles disponibles présentant un large spectre en Europe : BZD, lactones macrocycliques, lévamisole, monépantel </w:t>
      </w:r>
    </w:p>
    <w:p w14:paraId="10E42E2B" w14:textId="77777777" w:rsidR="000B0A52" w:rsidRDefault="000B0A52" w:rsidP="00220432">
      <w:pPr>
        <w:pStyle w:val="Paragraphedeliste"/>
        <w:numPr>
          <w:ilvl w:val="0"/>
          <w:numId w:val="2"/>
        </w:numPr>
        <w:jc w:val="both"/>
      </w:pPr>
      <w:r>
        <w:t>Une disponibilité encore plus limitée s’agissant des filières laitières : BZD, certaines lactones macrocycliques</w:t>
      </w:r>
    </w:p>
    <w:p w14:paraId="1CCBD9D3" w14:textId="77777777" w:rsidR="000B0A52" w:rsidRDefault="000B0A52" w:rsidP="00220432">
      <w:pPr>
        <w:pStyle w:val="Paragraphedeliste"/>
        <w:numPr>
          <w:ilvl w:val="0"/>
          <w:numId w:val="2"/>
        </w:numPr>
        <w:jc w:val="both"/>
      </w:pPr>
      <w:r>
        <w:t xml:space="preserve">Une généralisation des résistances aux BZD conduisant </w:t>
      </w:r>
      <w:r w:rsidRPr="000B0A52">
        <w:rPr>
          <w:i/>
        </w:rPr>
        <w:t>de facto</w:t>
      </w:r>
      <w:r>
        <w:t xml:space="preserve"> à ne disposer que de certaines lactones macrocycliques pour ces filières laitières, en particulier l’éprinomectine en raison de son temps d’attente nul pour le lait. </w:t>
      </w:r>
    </w:p>
    <w:p w14:paraId="537041F4" w14:textId="77777777" w:rsidR="000B0A52" w:rsidRDefault="000B0A52" w:rsidP="00220432">
      <w:pPr>
        <w:jc w:val="both"/>
      </w:pPr>
      <w:r>
        <w:t xml:space="preserve">Cette situation qui s’est développée sur les 20-25 dernières années aboutit aujourd’hui à une quasi-impasse thérapeutique avec une seule famille, les lactones macrocycliques, qui </w:t>
      </w:r>
      <w:r w:rsidR="007904F9">
        <w:t>est</w:t>
      </w:r>
      <w:r>
        <w:t xml:space="preserve"> utilisée de manière exclusive (sans rotation) et pour </w:t>
      </w:r>
      <w:r w:rsidR="007904F9">
        <w:t>laquelle les signalements de résistance se multiplient.</w:t>
      </w:r>
    </w:p>
    <w:p w14:paraId="149F005D" w14:textId="4B0AC50D" w:rsidR="009C5C75" w:rsidRDefault="007904F9" w:rsidP="00220432">
      <w:pPr>
        <w:jc w:val="both"/>
      </w:pPr>
      <w:r>
        <w:t>L’usage hors AMM de l’</w:t>
      </w:r>
      <w:proofErr w:type="spellStart"/>
      <w:r>
        <w:t>éprinomectine</w:t>
      </w:r>
      <w:proofErr w:type="spellEnd"/>
      <w:r>
        <w:t xml:space="preserve"> pour on </w:t>
      </w:r>
      <w:r w:rsidR="00D1624A">
        <w:t>(</w:t>
      </w:r>
      <w:proofErr w:type="spellStart"/>
      <w:r w:rsidR="00D1624A">
        <w:t>Eprinex</w:t>
      </w:r>
      <w:proofErr w:type="spellEnd"/>
      <w:r w:rsidR="00D1624A">
        <w:rPr>
          <w:rFonts w:cstheme="minorHAnsi"/>
        </w:rPr>
        <w:t xml:space="preserve">®, </w:t>
      </w:r>
      <w:r w:rsidR="00D1624A">
        <w:t xml:space="preserve">AMM pour les bovins) </w:t>
      </w:r>
      <w:r>
        <w:t>depuis la fin des années 90 chez les petits ruminants s’est caractérisé par des variations dans les doses et les voies utilisées</w:t>
      </w:r>
      <w:r w:rsidR="00D1624A">
        <w:t>,</w:t>
      </w:r>
      <w:r>
        <w:t xml:space="preserve"> et donc un mésusage probable </w:t>
      </w:r>
      <w:r w:rsidR="00D1624A">
        <w:t xml:space="preserve">dans un certain nombre de cas, </w:t>
      </w:r>
      <w:r>
        <w:t xml:space="preserve">auquel la sortie d’une présentation pour on avec une AMM petits ruminants </w:t>
      </w:r>
      <w:r w:rsidR="00D1624A">
        <w:t>(</w:t>
      </w:r>
      <w:proofErr w:type="spellStart"/>
      <w:r w:rsidR="00D1624A">
        <w:t>Eprinex</w:t>
      </w:r>
      <w:proofErr w:type="spellEnd"/>
      <w:r w:rsidR="00D1624A">
        <w:t xml:space="preserve"> Multi</w:t>
      </w:r>
      <w:r w:rsidR="00D1624A">
        <w:rPr>
          <w:rFonts w:cstheme="minorHAnsi"/>
        </w:rPr>
        <w:t>®</w:t>
      </w:r>
      <w:r w:rsidR="00D1624A">
        <w:t xml:space="preserve">) en 2016 </w:t>
      </w:r>
      <w:r>
        <w:t>n’a probablement pas mis fin (Chartier</w:t>
      </w:r>
      <w:r w:rsidR="005441B0">
        <w:t xml:space="preserve"> A., </w:t>
      </w:r>
      <w:r w:rsidR="00D1624A">
        <w:t>2014</w:t>
      </w:r>
      <w:r w:rsidR="005441B0">
        <w:t xml:space="preserve"> ; </w:t>
      </w:r>
      <w:proofErr w:type="spellStart"/>
      <w:r>
        <w:t>Couasnon</w:t>
      </w:r>
      <w:proofErr w:type="spellEnd"/>
      <w:r>
        <w:t xml:space="preserve">, </w:t>
      </w:r>
      <w:r w:rsidR="005441B0">
        <w:t>2019 ; Bridoux et al., 2020</w:t>
      </w:r>
      <w:r>
        <w:t>).</w:t>
      </w:r>
      <w:r w:rsidR="005441B0">
        <w:t xml:space="preserve"> Il faut signaler la disponibilité récente de l’</w:t>
      </w:r>
      <w:proofErr w:type="spellStart"/>
      <w:r w:rsidR="005441B0">
        <w:t>éprinomectine</w:t>
      </w:r>
      <w:proofErr w:type="spellEnd"/>
      <w:r w:rsidR="005441B0">
        <w:t xml:space="preserve"> injectable (</w:t>
      </w:r>
      <w:proofErr w:type="spellStart"/>
      <w:r w:rsidR="005441B0">
        <w:t>Eprecis</w:t>
      </w:r>
      <w:proofErr w:type="spellEnd"/>
      <w:r w:rsidR="00715CAA">
        <w:t xml:space="preserve"> Solution Injectable</w:t>
      </w:r>
      <w:r w:rsidR="005441B0">
        <w:rPr>
          <w:rFonts w:cstheme="minorHAnsi"/>
        </w:rPr>
        <w:t>®</w:t>
      </w:r>
      <w:r w:rsidR="005441B0">
        <w:t>) pour les petits ruminants (novembre 2020).</w:t>
      </w:r>
    </w:p>
    <w:p w14:paraId="32DDB7A4" w14:textId="77777777" w:rsidR="00BF09C9" w:rsidRDefault="00BF09C9" w:rsidP="00220432">
      <w:pPr>
        <w:jc w:val="both"/>
      </w:pPr>
    </w:p>
    <w:p w14:paraId="7EDAEFD5" w14:textId="77777777" w:rsidR="00764DE1" w:rsidRPr="00BF09C9" w:rsidRDefault="00764DE1" w:rsidP="00220432">
      <w:pPr>
        <w:jc w:val="both"/>
        <w:rPr>
          <w:u w:val="single"/>
        </w:rPr>
      </w:pPr>
      <w:r w:rsidRPr="00BF09C9">
        <w:rPr>
          <w:u w:val="single"/>
        </w:rPr>
        <w:lastRenderedPageBreak/>
        <w:t>Préconisations en termes de prévention des résistances aux anthelminthiques</w:t>
      </w:r>
    </w:p>
    <w:p w14:paraId="302FB5BE" w14:textId="0FD4101D" w:rsidR="00120AB1" w:rsidRPr="00120AB1" w:rsidRDefault="00120AB1" w:rsidP="00220432">
      <w:pPr>
        <w:spacing w:after="0" w:line="240" w:lineRule="auto"/>
        <w:jc w:val="both"/>
      </w:pPr>
      <w:r w:rsidRPr="00120AB1">
        <w:t xml:space="preserve">Cette situation doit inciter à la recherche et à la mise en place de méthodes de lutte aptes à ralentir voire à prévenir l’apparition des résistances aux AH chez les </w:t>
      </w:r>
      <w:r w:rsidR="00BF09C9">
        <w:t xml:space="preserve">petits </w:t>
      </w:r>
      <w:r w:rsidRPr="00120AB1">
        <w:t xml:space="preserve">ruminants, à savoir : (i) </w:t>
      </w:r>
      <w:r w:rsidR="0021196C">
        <w:t xml:space="preserve">rationaliser l’usage des AH et </w:t>
      </w:r>
      <w:r w:rsidRPr="00120AB1">
        <w:t>limiter le nombre de traitements par une stratégie de ciblage des interventions, et (ii) préserver une population parasitaire refuge non soumise à la pression de sélection au niveau des stades larvaires ou des vers adultes. La prévention de l’apparition des résistances aux anthelminthiques doit d’emblée faire partie de l’élaboration des plans de contrôle du parasitisme par les SGI de même que le signalement des cas de résistance ou d’inefficacité doit être systématisé notamment au travers de la pharmacovigilance</w:t>
      </w:r>
      <w:r w:rsidR="00715CAA">
        <w:t xml:space="preserve"> (Chartier et al., 2020)</w:t>
      </w:r>
      <w:r w:rsidRPr="00120AB1">
        <w:t>.</w:t>
      </w:r>
    </w:p>
    <w:p w14:paraId="315BFB23" w14:textId="77777777" w:rsidR="00BF09C9" w:rsidRDefault="00764DE1" w:rsidP="00220432">
      <w:pPr>
        <w:jc w:val="both"/>
      </w:pPr>
      <w:r>
        <w:tab/>
      </w:r>
    </w:p>
    <w:p w14:paraId="30BE41A3" w14:textId="77777777" w:rsidR="0021196C" w:rsidRDefault="0021196C" w:rsidP="00220432">
      <w:pPr>
        <w:pStyle w:val="Paragraphedeliste"/>
        <w:numPr>
          <w:ilvl w:val="0"/>
          <w:numId w:val="3"/>
        </w:numPr>
        <w:jc w:val="both"/>
      </w:pPr>
      <w:r>
        <w:t>Rationalisation de l’u</w:t>
      </w:r>
      <w:r w:rsidR="00764DE1">
        <w:t>sage des anthelminthiques disponibles</w:t>
      </w:r>
      <w:r>
        <w:t xml:space="preserve"> </w:t>
      </w:r>
    </w:p>
    <w:p w14:paraId="0DE8CE7A" w14:textId="557AF2F0" w:rsidR="0021196C" w:rsidRPr="00120AB1" w:rsidRDefault="0021196C" w:rsidP="00220432">
      <w:pPr>
        <w:spacing w:after="0" w:line="240" w:lineRule="auto"/>
        <w:jc w:val="both"/>
      </w:pPr>
      <w:r>
        <w:t>L</w:t>
      </w:r>
      <w:r w:rsidR="00120AB1" w:rsidRPr="00120AB1">
        <w:t xml:space="preserve">es stratégies de traitement ciblé-sélectif visant au maintien d’une population parasitaire refuge permettent de </w:t>
      </w:r>
      <w:r>
        <w:t>limiter</w:t>
      </w:r>
      <w:r w:rsidR="00120AB1" w:rsidRPr="00120AB1">
        <w:t xml:space="preserve"> les traitements AH</w:t>
      </w:r>
      <w:r>
        <w:t xml:space="preserve"> </w:t>
      </w:r>
      <w:r w:rsidR="00120AB1" w:rsidRPr="00120AB1">
        <w:t>: (i) aux troupeaux/lots, et aux individus dans ces troupeaux/lots, qui pourront bénéficier du traitement en termes d’amélioration ou de maintien des productions, (ii) à la période à laquelle le risque parasitaire est avéré (exposition et niveau d’infestation suffisants pour engendrer des pertes)</w:t>
      </w:r>
      <w:r w:rsidRPr="0021196C">
        <w:t xml:space="preserve"> </w:t>
      </w:r>
      <w:r w:rsidRPr="00120AB1">
        <w:t>(Kenyon et al., 2009, Charlier et al., 2014)</w:t>
      </w:r>
      <w:r w:rsidR="00120AB1" w:rsidRPr="00120AB1">
        <w:t>. Il s’agit donc de cibler les troupeaux/lots à risque et les périodes à risque, et de sélectionner les individus les plus parasités ou « souffrant » le plus du parasitisme tout en gardant une populatio</w:t>
      </w:r>
      <w:r>
        <w:t>n parasitaire refuge</w:t>
      </w:r>
      <w:r w:rsidR="00120AB1" w:rsidRPr="00120AB1">
        <w:t>.</w:t>
      </w:r>
      <w:r w:rsidRPr="0021196C">
        <w:t xml:space="preserve"> </w:t>
      </w:r>
      <w:r w:rsidRPr="00120AB1">
        <w:t xml:space="preserve">Les traitements </w:t>
      </w:r>
      <w:r>
        <w:t>ciblé-</w:t>
      </w:r>
      <w:r w:rsidRPr="00120AB1">
        <w:t xml:space="preserve">sélectifs ayant fait l’objet d’études chez les petits ruminants s’appuient sur </w:t>
      </w:r>
      <w:r>
        <w:t>des</w:t>
      </w:r>
      <w:r w:rsidRPr="00120AB1">
        <w:t xml:space="preserve"> indicateurs parasitologiques, cliniques ou liés à la </w:t>
      </w:r>
      <w:r w:rsidR="00F16B80">
        <w:t xml:space="preserve">physiologie ou à la </w:t>
      </w:r>
      <w:r w:rsidRPr="00120AB1">
        <w:t>production (Kenyon et al., 2009).</w:t>
      </w:r>
    </w:p>
    <w:p w14:paraId="3745E401" w14:textId="77777777" w:rsidR="00120AB1" w:rsidRPr="00120AB1" w:rsidRDefault="00120AB1" w:rsidP="00220432">
      <w:pPr>
        <w:spacing w:after="0" w:line="240" w:lineRule="auto"/>
        <w:jc w:val="both"/>
      </w:pPr>
    </w:p>
    <w:p w14:paraId="0F48D15C" w14:textId="77777777" w:rsidR="00120AB1" w:rsidRPr="00120AB1" w:rsidRDefault="0021196C" w:rsidP="00220432">
      <w:pPr>
        <w:pStyle w:val="Paragraphedeliste"/>
        <w:numPr>
          <w:ilvl w:val="0"/>
          <w:numId w:val="3"/>
        </w:numPr>
        <w:spacing w:after="0" w:line="240" w:lineRule="auto"/>
        <w:jc w:val="both"/>
      </w:pPr>
      <w:r>
        <w:t>Place potentielle du monépa</w:t>
      </w:r>
      <w:r w:rsidR="00FD1385">
        <w:t>n</w:t>
      </w:r>
      <w:r>
        <w:t>tel</w:t>
      </w:r>
      <w:r w:rsidR="009761EB">
        <w:t xml:space="preserve"> en filière laitière ovine et caprine</w:t>
      </w:r>
    </w:p>
    <w:p w14:paraId="77946579" w14:textId="7C25D91E" w:rsidR="009761EB" w:rsidRDefault="00FD1385" w:rsidP="00220432">
      <w:pPr>
        <w:spacing w:after="0" w:line="240" w:lineRule="auto"/>
        <w:jc w:val="both"/>
      </w:pPr>
      <w:r>
        <w:t>La fréquence de traitement est le facteur de risque le plus important pour la sélection de la résistance aux AH (Falzon et al., 2014). Plus on utilise des AH d’une famille donnée (BZD, lévamisole, LM), plus la pression de sélection vis-à-vis de cette famille est importante</w:t>
      </w:r>
      <w:r w:rsidR="002F574E">
        <w:t xml:space="preserve"> et plus les populations de SGI deviennent résistantes</w:t>
      </w:r>
      <w:r>
        <w:t xml:space="preserve">. C’est pourquoi la rotation des familles d’AH est considérée comme une mesure permettant de réduire la pression de sélection car elle réduit </w:t>
      </w:r>
      <w:r w:rsidRPr="002F574E">
        <w:rPr>
          <w:i/>
        </w:rPr>
        <w:t>de facto</w:t>
      </w:r>
      <w:r>
        <w:t xml:space="preserve"> le nombre de traitement</w:t>
      </w:r>
      <w:r w:rsidR="009761EB">
        <w:t>s</w:t>
      </w:r>
      <w:r>
        <w:t xml:space="preserve"> pour une famille donnée</w:t>
      </w:r>
      <w:r w:rsidR="002F574E">
        <w:t xml:space="preserve">. </w:t>
      </w:r>
    </w:p>
    <w:p w14:paraId="1305D5DC" w14:textId="77777777" w:rsidR="00120AB1" w:rsidRDefault="002F574E" w:rsidP="00220432">
      <w:pPr>
        <w:spacing w:after="0" w:line="240" w:lineRule="auto"/>
        <w:jc w:val="both"/>
      </w:pPr>
      <w:r>
        <w:t>Actuellement, dans les filières laitières de petits ruminants, cette rotation n’existe pas en raison d’un usage qua</w:t>
      </w:r>
      <w:r w:rsidR="009761EB">
        <w:t>s</w:t>
      </w:r>
      <w:r>
        <w:t>i-exclusif des LM, et singulièrement de l’éprinomectine.</w:t>
      </w:r>
    </w:p>
    <w:p w14:paraId="61EA18FC" w14:textId="2D09A4D2" w:rsidR="002F574E" w:rsidRDefault="002F574E" w:rsidP="00220432">
      <w:pPr>
        <w:spacing w:after="0" w:line="240" w:lineRule="auto"/>
        <w:jc w:val="both"/>
      </w:pPr>
      <w:r>
        <w:t xml:space="preserve">L’usage d’une molécule ayant un mode d’action différent des BZD et des LM, comme le monépantel, permettrait une alternance de famille d’AH (rotation entre LM et </w:t>
      </w:r>
      <w:proofErr w:type="spellStart"/>
      <w:r>
        <w:t>monépante</w:t>
      </w:r>
      <w:proofErr w:type="spellEnd"/>
      <w:r>
        <w:t>)</w:t>
      </w:r>
      <w:r w:rsidR="00715CAA">
        <w:t xml:space="preserve"> </w:t>
      </w:r>
      <w:r w:rsidR="000769F1">
        <w:t>au moment du tarissement</w:t>
      </w:r>
      <w:r>
        <w:t xml:space="preserve"> et au final participerait à la réduction de la pression de sélection exercée par les LM.</w:t>
      </w:r>
    </w:p>
    <w:p w14:paraId="6CCD60FF" w14:textId="698889D5" w:rsidR="00F16B80" w:rsidRDefault="009761EB" w:rsidP="00220432">
      <w:pPr>
        <w:spacing w:after="0" w:line="240" w:lineRule="auto"/>
        <w:jc w:val="both"/>
      </w:pPr>
      <w:r>
        <w:t>S’il disposait d’un temps d’attente pour le lait, l</w:t>
      </w:r>
      <w:r w:rsidR="002F574E">
        <w:t xml:space="preserve">e </w:t>
      </w:r>
      <w:proofErr w:type="spellStart"/>
      <w:r w:rsidR="002F574E">
        <w:t>monépantel</w:t>
      </w:r>
      <w:proofErr w:type="spellEnd"/>
      <w:r w:rsidR="002F574E">
        <w:t xml:space="preserve"> p</w:t>
      </w:r>
      <w:r>
        <w:t>o</w:t>
      </w:r>
      <w:r w:rsidR="002F574E">
        <w:t>u</w:t>
      </w:r>
      <w:r>
        <w:t>rrai</w:t>
      </w:r>
      <w:r w:rsidR="002F574E">
        <w:t>t s’intercaler dans le schéma de traitement AH</w:t>
      </w:r>
      <w:r>
        <w:t>, notamment</w:t>
      </w:r>
      <w:r w:rsidR="002F574E">
        <w:t xml:space="preserve"> au moment du tarissement des chèvres et des brebis. Comme vu précédemment, ce ciblage (période de traitement) peut être combiné à </w:t>
      </w:r>
      <w:r w:rsidR="00F16B80">
        <w:t>des options de traitement sélectif (choix des individus à traiter) selon des critères liés à l’âge</w:t>
      </w:r>
      <w:r w:rsidR="00715CAA">
        <w:t xml:space="preserve"> ou</w:t>
      </w:r>
      <w:r w:rsidR="00F16B80">
        <w:t xml:space="preserve"> au potentiel de production par exemple</w:t>
      </w:r>
      <w:r w:rsidR="00715CAA">
        <w:t>, ou à tout autre indicateur utilisable par les éleveurs</w:t>
      </w:r>
      <w:r w:rsidR="00F16B80">
        <w:t>.</w:t>
      </w:r>
      <w:r w:rsidR="0056574D">
        <w:t xml:space="preserve"> Le tarissement est une période intéressante concernant les traitements anthelminthiques car les animaux terminent leur gestation, reconstituent leurs réserves énergétiques et se préparent à leur future lactation. Selon les systèmes, le tarissement peut correspondre à une rentrée des animaux en bâtiment.</w:t>
      </w:r>
    </w:p>
    <w:p w14:paraId="1E0F1498" w14:textId="413E91BC" w:rsidR="002F574E" w:rsidRDefault="00F16B80" w:rsidP="00220432">
      <w:pPr>
        <w:spacing w:after="0" w:line="240" w:lineRule="auto"/>
        <w:jc w:val="both"/>
      </w:pPr>
      <w:r>
        <w:t>Le monépantel peut également présenter un intérêt dans le traitement AH de quarantaine lors d’introduction d’animaux</w:t>
      </w:r>
      <w:r w:rsidR="000769F1">
        <w:t xml:space="preserve"> (béliers ou agnelles de renouvellement par exemple)</w:t>
      </w:r>
      <w:r>
        <w:t>.</w:t>
      </w:r>
      <w:r w:rsidR="0006039D">
        <w:t xml:space="preserve"> Le traitement des animaux achetés avec une molécule AH efficace est considéré comme une mesure importante limitant l’introduction de vers résistants dans l’</w:t>
      </w:r>
      <w:r w:rsidR="005D123A">
        <w:t>exploitation (SCOPS Guidelines in Taylor, 2012)</w:t>
      </w:r>
      <w:r>
        <w:t xml:space="preserve"> </w:t>
      </w:r>
      <w:r w:rsidR="002F574E">
        <w:t xml:space="preserve"> </w:t>
      </w:r>
    </w:p>
    <w:p w14:paraId="4395CBBB" w14:textId="77777777" w:rsidR="009761EB" w:rsidRDefault="009761EB" w:rsidP="00220432">
      <w:pPr>
        <w:spacing w:after="0" w:line="240" w:lineRule="auto"/>
        <w:jc w:val="both"/>
      </w:pPr>
    </w:p>
    <w:p w14:paraId="64B5ADD5" w14:textId="602A1F70" w:rsidR="003E57B3" w:rsidRPr="005D123A" w:rsidRDefault="003E57B3" w:rsidP="00220432">
      <w:pPr>
        <w:pStyle w:val="Default"/>
        <w:jc w:val="both"/>
        <w:rPr>
          <w:rFonts w:asciiTheme="minorHAnsi" w:hAnsiTheme="minorHAnsi" w:cstheme="minorBidi"/>
          <w:color w:val="auto"/>
          <w:sz w:val="22"/>
          <w:szCs w:val="22"/>
          <w:u w:val="single"/>
        </w:rPr>
      </w:pPr>
      <w:proofErr w:type="spellStart"/>
      <w:r w:rsidRPr="005D123A">
        <w:rPr>
          <w:rFonts w:asciiTheme="minorHAnsi" w:hAnsiTheme="minorHAnsi" w:cstheme="minorBidi"/>
          <w:color w:val="auto"/>
          <w:sz w:val="22"/>
          <w:szCs w:val="22"/>
          <w:u w:val="single"/>
        </w:rPr>
        <w:t>Monépantel</w:t>
      </w:r>
      <w:proofErr w:type="spellEnd"/>
      <w:r w:rsidRPr="005D123A">
        <w:rPr>
          <w:rFonts w:asciiTheme="minorHAnsi" w:hAnsiTheme="minorHAnsi" w:cstheme="minorBidi"/>
          <w:color w:val="auto"/>
          <w:sz w:val="22"/>
          <w:szCs w:val="22"/>
          <w:u w:val="single"/>
        </w:rPr>
        <w:t> : AMM et données disponibles</w:t>
      </w:r>
    </w:p>
    <w:p w14:paraId="28DAA99C" w14:textId="77777777" w:rsidR="003E57B3" w:rsidRPr="005D123A" w:rsidRDefault="003E57B3" w:rsidP="00220432">
      <w:pPr>
        <w:pStyle w:val="Default"/>
        <w:jc w:val="both"/>
        <w:rPr>
          <w:rFonts w:asciiTheme="minorHAnsi" w:hAnsiTheme="minorHAnsi" w:cstheme="minorHAnsi"/>
          <w:sz w:val="22"/>
          <w:szCs w:val="22"/>
        </w:rPr>
      </w:pPr>
    </w:p>
    <w:p w14:paraId="67A9885B" w14:textId="77777777" w:rsidR="003E57B3" w:rsidRPr="005D123A" w:rsidRDefault="009761EB" w:rsidP="00220432">
      <w:pPr>
        <w:pStyle w:val="Default"/>
        <w:jc w:val="both"/>
        <w:rPr>
          <w:rFonts w:asciiTheme="minorHAnsi" w:hAnsiTheme="minorHAnsi" w:cstheme="minorHAnsi"/>
          <w:sz w:val="22"/>
          <w:szCs w:val="22"/>
        </w:rPr>
      </w:pPr>
      <w:r w:rsidRPr="005D123A">
        <w:rPr>
          <w:rFonts w:asciiTheme="minorHAnsi" w:hAnsiTheme="minorHAnsi" w:cstheme="minorHAnsi"/>
          <w:sz w:val="22"/>
          <w:szCs w:val="22"/>
        </w:rPr>
        <w:lastRenderedPageBreak/>
        <w:t>Le monépantel (ZOLVIX</w:t>
      </w:r>
      <w:r w:rsidR="003E57B3" w:rsidRPr="005D123A">
        <w:rPr>
          <w:rFonts w:asciiTheme="minorHAnsi" w:hAnsiTheme="minorHAnsi" w:cstheme="minorHAnsi"/>
          <w:sz w:val="22"/>
          <w:szCs w:val="22"/>
        </w:rPr>
        <w:t xml:space="preserve"> 25 mg/ml solution buvable</w:t>
      </w:r>
      <w:r w:rsidRPr="005D123A">
        <w:rPr>
          <w:rFonts w:asciiTheme="minorHAnsi" w:hAnsiTheme="minorHAnsi" w:cstheme="minorHAnsi"/>
          <w:sz w:val="22"/>
          <w:szCs w:val="22"/>
        </w:rPr>
        <w:t xml:space="preserve">) dispose depuis </w:t>
      </w:r>
      <w:r w:rsidR="006E13BB" w:rsidRPr="005D123A">
        <w:rPr>
          <w:rFonts w:asciiTheme="minorHAnsi" w:hAnsiTheme="minorHAnsi" w:cstheme="minorHAnsi"/>
          <w:sz w:val="22"/>
          <w:szCs w:val="22"/>
        </w:rPr>
        <w:t>le 04/11/2009</w:t>
      </w:r>
      <w:r w:rsidRPr="005D123A">
        <w:rPr>
          <w:rFonts w:asciiTheme="minorHAnsi" w:hAnsiTheme="minorHAnsi" w:cstheme="minorHAnsi"/>
          <w:sz w:val="22"/>
          <w:szCs w:val="22"/>
        </w:rPr>
        <w:t xml:space="preserve"> d’une AMM européenne mais uniquement pour les ovins</w:t>
      </w:r>
      <w:r w:rsidR="006E13BB" w:rsidRPr="005D123A">
        <w:rPr>
          <w:rFonts w:asciiTheme="minorHAnsi" w:hAnsiTheme="minorHAnsi" w:cstheme="minorHAnsi"/>
          <w:sz w:val="22"/>
          <w:szCs w:val="22"/>
        </w:rPr>
        <w:t>, avec un temps d’attente de 7 jours pour viande et abats</w:t>
      </w:r>
      <w:r w:rsidR="003E57B3" w:rsidRPr="005D123A">
        <w:rPr>
          <w:rFonts w:asciiTheme="minorHAnsi" w:hAnsiTheme="minorHAnsi" w:cstheme="minorHAnsi"/>
          <w:sz w:val="22"/>
          <w:szCs w:val="22"/>
        </w:rPr>
        <w:t xml:space="preserve">. </w:t>
      </w:r>
    </w:p>
    <w:p w14:paraId="6DE0FE39" w14:textId="17562D2A" w:rsidR="009761EB" w:rsidRPr="00BE2FDA" w:rsidRDefault="003E57B3" w:rsidP="00220432">
      <w:pPr>
        <w:pStyle w:val="Default"/>
        <w:jc w:val="both"/>
        <w:rPr>
          <w:rFonts w:cstheme="minorHAnsi"/>
        </w:rPr>
      </w:pPr>
      <w:r w:rsidRPr="005D123A">
        <w:rPr>
          <w:rFonts w:asciiTheme="minorHAnsi" w:hAnsiTheme="minorHAnsi" w:cstheme="minorHAnsi"/>
          <w:sz w:val="22"/>
          <w:szCs w:val="22"/>
        </w:rPr>
        <w:t xml:space="preserve">Le RCP actuel du médicament </w:t>
      </w:r>
      <w:r w:rsidR="006E13BB" w:rsidRPr="005D123A">
        <w:rPr>
          <w:rFonts w:asciiTheme="minorHAnsi" w:hAnsiTheme="minorHAnsi" w:cstheme="minorHAnsi"/>
          <w:sz w:val="22"/>
          <w:szCs w:val="22"/>
        </w:rPr>
        <w:t xml:space="preserve">précise </w:t>
      </w:r>
      <w:r w:rsidRPr="005D123A">
        <w:rPr>
          <w:rFonts w:asciiTheme="minorHAnsi" w:hAnsiTheme="minorHAnsi" w:cstheme="minorHAnsi"/>
          <w:sz w:val="22"/>
          <w:szCs w:val="22"/>
        </w:rPr>
        <w:t>en </w:t>
      </w:r>
      <w:r w:rsidRPr="005D123A">
        <w:rPr>
          <w:rFonts w:asciiTheme="minorHAnsi" w:hAnsiTheme="minorHAnsi" w:cstheme="minorHAnsi"/>
          <w:b/>
          <w:bCs/>
          <w:sz w:val="22"/>
          <w:szCs w:val="22"/>
        </w:rPr>
        <w:t xml:space="preserve">4.7 Utilisation en cas de gestation, de lactation ou de ponte : </w:t>
      </w:r>
      <w:r w:rsidRPr="005D123A">
        <w:rPr>
          <w:rFonts w:asciiTheme="minorHAnsi" w:hAnsiTheme="minorHAnsi" w:cstheme="minorHAnsi"/>
          <w:sz w:val="22"/>
          <w:szCs w:val="22"/>
        </w:rPr>
        <w:t xml:space="preserve">« Le médicament vétérinaire peut être utilisé chez les ovins de reproduction incluant les brebis gestantes et allaitantes. » et en </w:t>
      </w:r>
      <w:r w:rsidRPr="005D123A">
        <w:rPr>
          <w:rFonts w:asciiTheme="minorHAnsi" w:hAnsiTheme="minorHAnsi" w:cstheme="minorHAnsi"/>
          <w:b/>
          <w:bCs/>
          <w:sz w:val="22"/>
          <w:szCs w:val="22"/>
        </w:rPr>
        <w:t xml:space="preserve">4.11 Temps d’attente </w:t>
      </w:r>
      <w:r w:rsidR="006E13BB" w:rsidRPr="005D123A">
        <w:rPr>
          <w:rFonts w:asciiTheme="minorHAnsi" w:hAnsiTheme="minorHAnsi" w:cstheme="minorHAnsi"/>
          <w:sz w:val="22"/>
          <w:szCs w:val="22"/>
        </w:rPr>
        <w:t>« Ne pas utiliser chez les animaux producteurs de lait destiné à la consommation humaine »</w:t>
      </w:r>
      <w:r w:rsidRPr="005D123A">
        <w:rPr>
          <w:rFonts w:asciiTheme="minorHAnsi" w:hAnsiTheme="minorHAnsi" w:cstheme="minorHAnsi"/>
          <w:sz w:val="22"/>
          <w:szCs w:val="22"/>
        </w:rPr>
        <w:t xml:space="preserve">. </w:t>
      </w:r>
    </w:p>
    <w:p w14:paraId="6B85B183" w14:textId="77777777" w:rsidR="003E57B3" w:rsidRPr="00C64DAC" w:rsidRDefault="003E57B3" w:rsidP="00220432">
      <w:pPr>
        <w:spacing w:after="0" w:line="240" w:lineRule="auto"/>
        <w:jc w:val="both"/>
        <w:rPr>
          <w:rFonts w:cstheme="minorHAnsi"/>
        </w:rPr>
      </w:pPr>
    </w:p>
    <w:p w14:paraId="02F7E282" w14:textId="77777777" w:rsidR="003E57B3" w:rsidRPr="005D123A" w:rsidRDefault="003E57B3" w:rsidP="00220432">
      <w:pPr>
        <w:spacing w:after="0" w:line="240" w:lineRule="auto"/>
        <w:jc w:val="both"/>
        <w:rPr>
          <w:rFonts w:cstheme="minorHAnsi"/>
        </w:rPr>
      </w:pPr>
      <w:r w:rsidRPr="005D123A">
        <w:rPr>
          <w:rFonts w:cstheme="minorHAnsi"/>
        </w:rPr>
        <w:t>La consultation du site de l’EMA (</w:t>
      </w:r>
      <w:hyperlink r:id="rId5" w:history="1">
        <w:r w:rsidRPr="005D123A">
          <w:rPr>
            <w:rStyle w:val="Lienhypertexte"/>
            <w:rFonts w:cstheme="minorHAnsi"/>
          </w:rPr>
          <w:t>https://www.ema.europa.eu/en/medicines/veterinary/withdrawn-applications/zolvix</w:t>
        </w:r>
      </w:hyperlink>
      <w:r w:rsidRPr="005D123A">
        <w:rPr>
          <w:rFonts w:cstheme="minorHAnsi"/>
        </w:rPr>
        <w:t>) indique que Novartis Santé Animale a soumis le 27/02/2012 une demande d’extension d’AMM pour l’</w:t>
      </w:r>
      <w:r w:rsidR="00EC3659" w:rsidRPr="005D123A">
        <w:rPr>
          <w:rFonts w:cstheme="minorHAnsi"/>
        </w:rPr>
        <w:t xml:space="preserve">espèce caprine. Cependant </w:t>
      </w:r>
      <w:r w:rsidRPr="005D123A">
        <w:rPr>
          <w:rFonts w:cstheme="minorHAnsi"/>
        </w:rPr>
        <w:t xml:space="preserve">Novartis </w:t>
      </w:r>
      <w:r w:rsidR="00EC3659" w:rsidRPr="005D123A">
        <w:rPr>
          <w:rFonts w:cstheme="minorHAnsi"/>
        </w:rPr>
        <w:t xml:space="preserve">Santé Animale a abandonné le 19/10/12 cette demande au 190ème jour de la procédure parce que le CVMP ne soutenait pas toutes les indications proposées. </w:t>
      </w:r>
    </w:p>
    <w:p w14:paraId="7AB948B3" w14:textId="77777777" w:rsidR="00EC3659" w:rsidRPr="005D123A" w:rsidRDefault="00EC3659" w:rsidP="00220432">
      <w:pPr>
        <w:spacing w:after="0" w:line="240" w:lineRule="auto"/>
        <w:jc w:val="both"/>
        <w:rPr>
          <w:rFonts w:cstheme="minorHAnsi"/>
        </w:rPr>
      </w:pPr>
    </w:p>
    <w:p w14:paraId="3126F311" w14:textId="77777777" w:rsidR="006A0B14" w:rsidRDefault="00093F1F" w:rsidP="00220432">
      <w:pPr>
        <w:spacing w:after="0" w:line="240" w:lineRule="auto"/>
        <w:jc w:val="both"/>
      </w:pPr>
      <w:r w:rsidRPr="00BE2FDA">
        <w:rPr>
          <w:rFonts w:cstheme="minorHAnsi"/>
        </w:rPr>
        <w:t>Par ailleurs, l</w:t>
      </w:r>
      <w:r w:rsidR="00EC3659" w:rsidRPr="005D123A">
        <w:rPr>
          <w:rFonts w:cstheme="minorHAnsi"/>
        </w:rPr>
        <w:t xml:space="preserve">’EPMAR (rapport </w:t>
      </w:r>
      <w:r w:rsidRPr="005D123A">
        <w:rPr>
          <w:rFonts w:cstheme="minorHAnsi"/>
        </w:rPr>
        <w:t xml:space="preserve">LMR </w:t>
      </w:r>
      <w:r w:rsidRPr="00BE2FDA">
        <w:rPr>
          <w:rFonts w:cstheme="minorHAnsi"/>
        </w:rPr>
        <w:t xml:space="preserve">européen </w:t>
      </w:r>
      <w:r w:rsidR="00EC3659" w:rsidRPr="005D123A">
        <w:rPr>
          <w:rFonts w:cstheme="minorHAnsi"/>
        </w:rPr>
        <w:t>public d’</w:t>
      </w:r>
      <w:r w:rsidRPr="00BE2FDA">
        <w:rPr>
          <w:rFonts w:cstheme="minorHAnsi"/>
        </w:rPr>
        <w:t xml:space="preserve">évaluation) </w:t>
      </w:r>
      <w:r w:rsidR="006A0B14">
        <w:rPr>
          <w:rFonts w:cstheme="minorHAnsi"/>
        </w:rPr>
        <w:t>publié par l’EMA le</w:t>
      </w:r>
      <w:r w:rsidRPr="00BE2FDA">
        <w:rPr>
          <w:rFonts w:cstheme="minorHAnsi"/>
        </w:rPr>
        <w:t xml:space="preserve"> 24 mai 2013 </w:t>
      </w:r>
      <w:r w:rsidRPr="00102EB4">
        <w:rPr>
          <w:rFonts w:cstheme="minorHAnsi"/>
        </w:rPr>
        <w:t xml:space="preserve">fixe à 170 µg/kg la LMR pour le lait de brebis et de chèvres (lors </w:t>
      </w:r>
      <w:r w:rsidRPr="000769F1">
        <w:rPr>
          <w:rFonts w:cstheme="minorHAnsi"/>
        </w:rPr>
        <w:t>d’administration orale unique</w:t>
      </w:r>
      <w:r w:rsidRPr="00BD4006">
        <w:rPr>
          <w:rFonts w:cstheme="minorHAnsi"/>
        </w:rPr>
        <w:t xml:space="preserve"> à la dose de 2,5 mg/kg et 3,75 mg/kg respectivement). </w:t>
      </w:r>
      <w:r w:rsidR="006A0B14" w:rsidRPr="00BD4006">
        <w:rPr>
          <w:rFonts w:cstheme="minorHAnsi"/>
        </w:rPr>
        <w:br/>
      </w:r>
      <w:r w:rsidR="006A0B14">
        <w:t xml:space="preserve">Si les femelles sont en lactation, le temps d’attente dans le lait ne devrait pas être inférieur à 14 jours d’après les données de déplétion des résidus publiées dans l’EPMAR (étude pilote </w:t>
      </w:r>
      <w:r w:rsidR="00DB025D">
        <w:t xml:space="preserve">non BPL </w:t>
      </w:r>
      <w:r w:rsidR="006A0B14">
        <w:t xml:space="preserve">sur </w:t>
      </w:r>
      <w:r w:rsidR="00DB025D">
        <w:t>3 brebis en lactation)</w:t>
      </w:r>
      <w:r w:rsidR="006A0B14">
        <w:t>.</w:t>
      </w:r>
    </w:p>
    <w:p w14:paraId="3E479D48" w14:textId="77777777" w:rsidR="006A0B14" w:rsidRDefault="00DB025D" w:rsidP="00220432">
      <w:pPr>
        <w:spacing w:after="0" w:line="240" w:lineRule="auto"/>
        <w:jc w:val="both"/>
      </w:pPr>
      <w:r>
        <w:t xml:space="preserve">On ne dispose pas de données publiées de déplétion lors de traitement au tarissement ou pendant la période sèche chez la brebis ou la chèvre laitière. </w:t>
      </w:r>
    </w:p>
    <w:p w14:paraId="2270F219" w14:textId="49909EA9" w:rsidR="00DB025D" w:rsidRDefault="00DB025D" w:rsidP="00220432">
      <w:pPr>
        <w:spacing w:after="0" w:line="240" w:lineRule="auto"/>
        <w:jc w:val="both"/>
      </w:pPr>
      <w:r>
        <w:t xml:space="preserve">Sachant que la période sèche dure en moyenne </w:t>
      </w:r>
      <w:r w:rsidR="00261300" w:rsidRPr="00261300">
        <w:rPr>
          <w:highlight w:val="yellow"/>
        </w:rPr>
        <w:t>XX</w:t>
      </w:r>
      <w:r w:rsidR="00261300">
        <w:t xml:space="preserve"> </w:t>
      </w:r>
      <w:r>
        <w:t xml:space="preserve">jours chez la brebis </w:t>
      </w:r>
      <w:r w:rsidRPr="0056574D">
        <w:t xml:space="preserve">et </w:t>
      </w:r>
      <w:r w:rsidR="0056574D" w:rsidRPr="0056574D">
        <w:t>60</w:t>
      </w:r>
      <w:r w:rsidRPr="0056574D">
        <w:t xml:space="preserve"> jours</w:t>
      </w:r>
      <w:r>
        <w:t xml:space="preserve"> chez la chèvre, et que la période de non commercialisation du lait est de </w:t>
      </w:r>
      <w:r w:rsidRPr="00261300">
        <w:rPr>
          <w:highlight w:val="yellow"/>
        </w:rPr>
        <w:t>XX</w:t>
      </w:r>
      <w:r>
        <w:t xml:space="preserve"> jours chez la brebis et </w:t>
      </w:r>
      <w:r w:rsidR="00261300" w:rsidRPr="00261300">
        <w:t>7</w:t>
      </w:r>
      <w:r w:rsidRPr="00261300">
        <w:t xml:space="preserve"> j</w:t>
      </w:r>
      <w:r>
        <w:t xml:space="preserve">ours </w:t>
      </w:r>
      <w:r w:rsidR="00261300">
        <w:t xml:space="preserve">(14 traites) </w:t>
      </w:r>
      <w:r>
        <w:t xml:space="preserve">chez la chèvre, un temps d’attente allant jusqu’à </w:t>
      </w:r>
      <w:r w:rsidR="00261300">
        <w:t>63 jours (9 semaines)</w:t>
      </w:r>
      <w:r w:rsidR="006B4E43">
        <w:t xml:space="preserve"> après un</w:t>
      </w:r>
      <w:r>
        <w:t xml:space="preserve"> traitement au tarissement serait acceptable pour la filière</w:t>
      </w:r>
      <w:r w:rsidR="006B4E43">
        <w:t xml:space="preserve"> laitière</w:t>
      </w:r>
      <w:r>
        <w:t xml:space="preserve">. </w:t>
      </w:r>
    </w:p>
    <w:p w14:paraId="62047F79" w14:textId="77777777" w:rsidR="006A0B14" w:rsidRDefault="006A0B14" w:rsidP="00220432">
      <w:pPr>
        <w:spacing w:after="0" w:line="240" w:lineRule="auto"/>
        <w:jc w:val="both"/>
      </w:pPr>
    </w:p>
    <w:p w14:paraId="619B2F5A" w14:textId="77777777" w:rsidR="00EC3659" w:rsidRPr="00261300" w:rsidRDefault="006B4E43" w:rsidP="00220432">
      <w:pPr>
        <w:pStyle w:val="Default"/>
        <w:jc w:val="both"/>
        <w:rPr>
          <w:rFonts w:asciiTheme="minorHAnsi" w:hAnsiTheme="minorHAnsi" w:cstheme="minorHAnsi"/>
          <w:sz w:val="22"/>
          <w:szCs w:val="22"/>
        </w:rPr>
      </w:pPr>
      <w:r>
        <w:rPr>
          <w:rFonts w:asciiTheme="minorHAnsi" w:hAnsiTheme="minorHAnsi" w:cstheme="minorHAnsi"/>
          <w:sz w:val="22"/>
          <w:szCs w:val="22"/>
        </w:rPr>
        <w:t xml:space="preserve">Ces différentes raisons justifient l’intérêt de disposer d’une </w:t>
      </w:r>
      <w:commentRangeStart w:id="0"/>
      <w:r>
        <w:rPr>
          <w:rFonts w:asciiTheme="minorHAnsi" w:hAnsiTheme="minorHAnsi" w:cstheme="minorHAnsi"/>
          <w:sz w:val="22"/>
          <w:szCs w:val="22"/>
        </w:rPr>
        <w:t xml:space="preserve">étude de déplétion </w:t>
      </w:r>
      <w:commentRangeEnd w:id="0"/>
      <w:r>
        <w:rPr>
          <w:rStyle w:val="Marquedecommentaire"/>
          <w:rFonts w:asciiTheme="minorHAnsi" w:hAnsiTheme="minorHAnsi" w:cstheme="minorBidi"/>
          <w:color w:val="auto"/>
        </w:rPr>
        <w:commentReference w:id="0"/>
      </w:r>
      <w:r>
        <w:rPr>
          <w:rFonts w:asciiTheme="minorHAnsi" w:hAnsiTheme="minorHAnsi" w:cstheme="minorHAnsi"/>
          <w:sz w:val="22"/>
          <w:szCs w:val="22"/>
        </w:rPr>
        <w:t xml:space="preserve">du </w:t>
      </w:r>
      <w:proofErr w:type="spellStart"/>
      <w:r>
        <w:rPr>
          <w:rFonts w:asciiTheme="minorHAnsi" w:hAnsiTheme="minorHAnsi" w:cstheme="minorHAnsi"/>
          <w:sz w:val="22"/>
          <w:szCs w:val="22"/>
        </w:rPr>
        <w:t>monépantel</w:t>
      </w:r>
      <w:proofErr w:type="spellEnd"/>
      <w:r>
        <w:rPr>
          <w:rFonts w:asciiTheme="minorHAnsi" w:hAnsiTheme="minorHAnsi" w:cstheme="minorHAnsi"/>
          <w:sz w:val="22"/>
          <w:szCs w:val="22"/>
        </w:rPr>
        <w:t xml:space="preserve"> dans le lait lors de traitement au tarissement de la brebis et/ou de la chèvre laitière afin de pouvoir prescrire ce médicament avec un temps d’attente approprié ne mettant pas en danger la santé du consommateur. </w:t>
      </w:r>
    </w:p>
    <w:p w14:paraId="3C93B801" w14:textId="77777777" w:rsidR="00220432" w:rsidRDefault="00220432">
      <w:pPr>
        <w:rPr>
          <w:rFonts w:cstheme="minorHAnsi"/>
        </w:rPr>
      </w:pPr>
      <w:r>
        <w:rPr>
          <w:rFonts w:cstheme="minorHAnsi"/>
        </w:rPr>
        <w:br w:type="page"/>
      </w:r>
    </w:p>
    <w:p w14:paraId="64C0A87A" w14:textId="77777777" w:rsidR="00220432" w:rsidRPr="00E9284B" w:rsidRDefault="00220432">
      <w:pPr>
        <w:rPr>
          <w:rFonts w:cstheme="minorHAnsi"/>
          <w:color w:val="000000"/>
        </w:rPr>
      </w:pPr>
      <w:r>
        <w:rPr>
          <w:rFonts w:cstheme="minorHAnsi"/>
        </w:rPr>
        <w:lastRenderedPageBreak/>
        <w:t>Références bibliographiques</w:t>
      </w:r>
    </w:p>
    <w:p w14:paraId="749B5664" w14:textId="19B8EB07" w:rsidR="00B66403" w:rsidRPr="00E9284B" w:rsidRDefault="00B66403" w:rsidP="00B66403">
      <w:pPr>
        <w:rPr>
          <w:rFonts w:cstheme="minorHAnsi"/>
          <w:color w:val="000000"/>
        </w:rPr>
      </w:pPr>
      <w:r w:rsidRPr="00E9284B">
        <w:rPr>
          <w:rFonts w:cstheme="minorHAnsi"/>
          <w:color w:val="000000"/>
        </w:rPr>
        <w:t xml:space="preserve">Bordes L., Dumont N., </w:t>
      </w:r>
      <w:proofErr w:type="spellStart"/>
      <w:r w:rsidRPr="00E9284B">
        <w:rPr>
          <w:rFonts w:cstheme="minorHAnsi"/>
          <w:color w:val="000000"/>
        </w:rPr>
        <w:t>Lespine</w:t>
      </w:r>
      <w:proofErr w:type="spellEnd"/>
      <w:r w:rsidRPr="00E9284B">
        <w:rPr>
          <w:rFonts w:cstheme="minorHAnsi"/>
          <w:color w:val="000000"/>
        </w:rPr>
        <w:t xml:space="preserve"> A. et al. </w:t>
      </w:r>
      <w:r w:rsidRPr="00C85A87">
        <w:rPr>
          <w:rFonts w:cstheme="minorHAnsi"/>
          <w:color w:val="000000"/>
          <w:lang w:val="en-GB"/>
        </w:rPr>
        <w:t>First report of multiple resistance to eprinomectin and benzimidazole in</w:t>
      </w:r>
      <w:r w:rsidR="00754ED6" w:rsidRPr="00C85A87">
        <w:rPr>
          <w:rFonts w:cstheme="minorHAnsi"/>
          <w:color w:val="000000"/>
          <w:lang w:val="en-GB"/>
        </w:rPr>
        <w:t xml:space="preserve"> </w:t>
      </w:r>
      <w:proofErr w:type="spellStart"/>
      <w:r w:rsidR="00754ED6" w:rsidRPr="00C85A87">
        <w:rPr>
          <w:rFonts w:cstheme="minorHAnsi"/>
          <w:color w:val="000000"/>
          <w:lang w:val="en-GB"/>
        </w:rPr>
        <w:t>Haemonchus</w:t>
      </w:r>
      <w:proofErr w:type="spellEnd"/>
      <w:r w:rsidR="00754ED6" w:rsidRPr="00C85A87">
        <w:rPr>
          <w:rFonts w:cstheme="minorHAnsi"/>
          <w:color w:val="000000"/>
          <w:lang w:val="en-GB"/>
        </w:rPr>
        <w:t xml:space="preserve"> </w:t>
      </w:r>
      <w:proofErr w:type="spellStart"/>
      <w:r w:rsidR="00754ED6" w:rsidRPr="00C85A87">
        <w:rPr>
          <w:rFonts w:cstheme="minorHAnsi"/>
          <w:color w:val="000000"/>
          <w:lang w:val="en-GB"/>
        </w:rPr>
        <w:t>contortus</w:t>
      </w:r>
      <w:proofErr w:type="spellEnd"/>
      <w:r w:rsidR="00754ED6" w:rsidRPr="00C85A87">
        <w:rPr>
          <w:rFonts w:cstheme="minorHAnsi"/>
          <w:color w:val="000000"/>
          <w:lang w:val="en-GB"/>
        </w:rPr>
        <w:t xml:space="preserve"> on</w:t>
      </w:r>
      <w:r w:rsidRPr="00C85A87">
        <w:rPr>
          <w:rFonts w:cstheme="minorHAnsi"/>
          <w:color w:val="000000"/>
          <w:lang w:val="en-GB"/>
        </w:rPr>
        <w:t xml:space="preserve"> a dairy goat</w:t>
      </w:r>
      <w:r w:rsidR="00754ED6" w:rsidRPr="00C85A87">
        <w:rPr>
          <w:rFonts w:cstheme="minorHAnsi"/>
          <w:color w:val="000000"/>
          <w:lang w:val="en-GB"/>
        </w:rPr>
        <w:t xml:space="preserve"> farm. </w:t>
      </w:r>
      <w:proofErr w:type="spellStart"/>
      <w:r w:rsidRPr="00E9284B">
        <w:rPr>
          <w:rFonts w:cstheme="minorHAnsi"/>
          <w:color w:val="000000"/>
        </w:rPr>
        <w:t>Parasitol</w:t>
      </w:r>
      <w:proofErr w:type="spellEnd"/>
      <w:r w:rsidRPr="00E9284B">
        <w:rPr>
          <w:rFonts w:cstheme="minorHAnsi"/>
          <w:color w:val="000000"/>
        </w:rPr>
        <w:t>.</w:t>
      </w:r>
      <w:r w:rsidR="00754ED6" w:rsidRPr="00E9284B">
        <w:rPr>
          <w:rFonts w:cstheme="minorHAnsi"/>
          <w:color w:val="000000"/>
        </w:rPr>
        <w:t xml:space="preserve"> Int.</w:t>
      </w:r>
      <w:r w:rsidRPr="00E9284B">
        <w:rPr>
          <w:rFonts w:cstheme="minorHAnsi"/>
          <w:color w:val="000000"/>
        </w:rPr>
        <w:t>,</w:t>
      </w:r>
      <w:r w:rsidR="00754ED6" w:rsidRPr="00E9284B">
        <w:rPr>
          <w:rFonts w:cstheme="minorHAnsi"/>
          <w:color w:val="000000"/>
        </w:rPr>
        <w:t xml:space="preserve"> 2020, </w:t>
      </w:r>
      <w:proofErr w:type="gramStart"/>
      <w:r w:rsidR="00754ED6" w:rsidRPr="00E9284B">
        <w:rPr>
          <w:rFonts w:cstheme="minorHAnsi"/>
          <w:color w:val="000000"/>
        </w:rPr>
        <w:t xml:space="preserve">76, </w:t>
      </w:r>
      <w:r w:rsidRPr="00E9284B">
        <w:rPr>
          <w:rFonts w:cstheme="minorHAnsi"/>
          <w:color w:val="000000"/>
        </w:rPr>
        <w:t xml:space="preserve"> </w:t>
      </w:r>
      <w:r w:rsidR="00754ED6" w:rsidRPr="00E9284B">
        <w:rPr>
          <w:rFonts w:cstheme="minorHAnsi"/>
          <w:color w:val="000000"/>
        </w:rPr>
        <w:t>https://doi.org/10.1016/j.parint.2020.102063</w:t>
      </w:r>
      <w:proofErr w:type="gramEnd"/>
    </w:p>
    <w:p w14:paraId="34449F2C" w14:textId="44609CE3" w:rsidR="00220432" w:rsidRPr="00E9284B" w:rsidRDefault="00B66403">
      <w:pPr>
        <w:rPr>
          <w:rFonts w:cstheme="minorHAnsi"/>
          <w:color w:val="000000"/>
        </w:rPr>
      </w:pPr>
      <w:r w:rsidRPr="00E9284B">
        <w:rPr>
          <w:rFonts w:cstheme="minorHAnsi"/>
          <w:color w:val="000000"/>
        </w:rPr>
        <w:t xml:space="preserve">Bordes L., </w:t>
      </w:r>
      <w:proofErr w:type="spellStart"/>
      <w:r w:rsidRPr="00E9284B">
        <w:rPr>
          <w:rFonts w:cstheme="minorHAnsi"/>
          <w:color w:val="000000"/>
        </w:rPr>
        <w:t>Desmolin</w:t>
      </w:r>
      <w:proofErr w:type="spellEnd"/>
      <w:r w:rsidRPr="00E9284B">
        <w:rPr>
          <w:rFonts w:cstheme="minorHAnsi"/>
          <w:color w:val="000000"/>
        </w:rPr>
        <w:t xml:space="preserve"> A., </w:t>
      </w:r>
      <w:proofErr w:type="spellStart"/>
      <w:r w:rsidRPr="00E9284B">
        <w:rPr>
          <w:rFonts w:cstheme="minorHAnsi"/>
          <w:color w:val="000000"/>
        </w:rPr>
        <w:t>Greil</w:t>
      </w:r>
      <w:proofErr w:type="spellEnd"/>
      <w:r w:rsidRPr="00E9284B">
        <w:rPr>
          <w:rFonts w:cstheme="minorHAnsi"/>
          <w:color w:val="000000"/>
        </w:rPr>
        <w:t xml:space="preserve"> S. et al. Multirésistances aux anthelminthiques chez les strongles digestifs des petits ruminants au sud de la France. NEVA, 2020, 12, 46, 7-18.</w:t>
      </w:r>
    </w:p>
    <w:p w14:paraId="07232192" w14:textId="13848A4D" w:rsidR="00220432" w:rsidRPr="00E9284B" w:rsidRDefault="00220432">
      <w:pPr>
        <w:rPr>
          <w:rFonts w:cstheme="minorHAnsi"/>
          <w:color w:val="000000"/>
        </w:rPr>
      </w:pPr>
      <w:r w:rsidRPr="00E9284B">
        <w:rPr>
          <w:rFonts w:cstheme="minorHAnsi"/>
          <w:color w:val="000000"/>
        </w:rPr>
        <w:t xml:space="preserve">Bridoux </w:t>
      </w:r>
      <w:r w:rsidR="00754ED6" w:rsidRPr="00E9284B">
        <w:rPr>
          <w:rFonts w:cstheme="minorHAnsi"/>
          <w:color w:val="000000"/>
        </w:rPr>
        <w:t xml:space="preserve">N., Fresnay E., </w:t>
      </w:r>
      <w:proofErr w:type="spellStart"/>
      <w:r w:rsidR="00754ED6" w:rsidRPr="00E9284B">
        <w:rPr>
          <w:rFonts w:cstheme="minorHAnsi"/>
          <w:color w:val="000000"/>
        </w:rPr>
        <w:t>Jarrige</w:t>
      </w:r>
      <w:proofErr w:type="spellEnd"/>
      <w:r w:rsidR="00754ED6" w:rsidRPr="00E9284B">
        <w:rPr>
          <w:rFonts w:cstheme="minorHAnsi"/>
          <w:color w:val="000000"/>
        </w:rPr>
        <w:t xml:space="preserve"> N., </w:t>
      </w:r>
      <w:proofErr w:type="spellStart"/>
      <w:r w:rsidR="00754ED6" w:rsidRPr="00E9284B">
        <w:rPr>
          <w:rFonts w:cstheme="minorHAnsi"/>
          <w:color w:val="000000"/>
        </w:rPr>
        <w:t>Paraud</w:t>
      </w:r>
      <w:proofErr w:type="spellEnd"/>
      <w:r w:rsidR="00754ED6" w:rsidRPr="00E9284B">
        <w:rPr>
          <w:rFonts w:cstheme="minorHAnsi"/>
          <w:color w:val="000000"/>
        </w:rPr>
        <w:t xml:space="preserve"> C. Usage et efficacité des traitements anthelminthiques à l’</w:t>
      </w:r>
      <w:proofErr w:type="spellStart"/>
      <w:r w:rsidR="00754ED6" w:rsidRPr="00E9284B">
        <w:rPr>
          <w:rFonts w:cstheme="minorHAnsi"/>
          <w:color w:val="000000"/>
        </w:rPr>
        <w:t>éprinomectine</w:t>
      </w:r>
      <w:proofErr w:type="spellEnd"/>
      <w:r w:rsidR="00754ED6" w:rsidRPr="00E9284B">
        <w:rPr>
          <w:rFonts w:cstheme="minorHAnsi"/>
          <w:color w:val="000000"/>
        </w:rPr>
        <w:t xml:space="preserve"> dans les élevages d’ovins et de caprins laitiers. Résultats du projet EPRIBELE. Journées Nationales GTV, 2020, 97-106.</w:t>
      </w:r>
    </w:p>
    <w:p w14:paraId="648634F2" w14:textId="1750D56A" w:rsidR="009F7631" w:rsidRPr="00C85A87" w:rsidRDefault="009F7631">
      <w:pPr>
        <w:rPr>
          <w:rFonts w:cstheme="minorHAnsi"/>
          <w:color w:val="000000"/>
          <w:lang w:val="en-GB"/>
        </w:rPr>
      </w:pPr>
      <w:proofErr w:type="spellStart"/>
      <w:r w:rsidRPr="00E9284B">
        <w:rPr>
          <w:rFonts w:cstheme="minorHAnsi"/>
          <w:color w:val="000000"/>
        </w:rPr>
        <w:t>Cazajous</w:t>
      </w:r>
      <w:proofErr w:type="spellEnd"/>
      <w:r w:rsidRPr="00E9284B">
        <w:rPr>
          <w:rFonts w:cstheme="minorHAnsi"/>
          <w:color w:val="000000"/>
        </w:rPr>
        <w:t xml:space="preserve"> T., </w:t>
      </w:r>
      <w:proofErr w:type="spellStart"/>
      <w:r w:rsidRPr="00E9284B">
        <w:rPr>
          <w:rFonts w:cstheme="minorHAnsi"/>
          <w:color w:val="000000"/>
        </w:rPr>
        <w:t>Prevot</w:t>
      </w:r>
      <w:proofErr w:type="spellEnd"/>
      <w:r w:rsidRPr="00E9284B">
        <w:rPr>
          <w:rFonts w:cstheme="minorHAnsi"/>
          <w:color w:val="000000"/>
        </w:rPr>
        <w:t xml:space="preserve"> F., </w:t>
      </w:r>
      <w:proofErr w:type="spellStart"/>
      <w:r w:rsidRPr="00E9284B">
        <w:rPr>
          <w:rFonts w:cstheme="minorHAnsi"/>
          <w:color w:val="000000"/>
        </w:rPr>
        <w:t>Kerbiriou</w:t>
      </w:r>
      <w:proofErr w:type="spellEnd"/>
      <w:r w:rsidRPr="00E9284B">
        <w:rPr>
          <w:rFonts w:cstheme="minorHAnsi"/>
          <w:color w:val="000000"/>
        </w:rPr>
        <w:t xml:space="preserve"> A.et al. </w:t>
      </w:r>
      <w:r w:rsidRPr="00C85A87">
        <w:rPr>
          <w:rFonts w:cstheme="minorHAnsi"/>
          <w:color w:val="000000"/>
          <w:lang w:val="en-GB"/>
        </w:rPr>
        <w:t xml:space="preserve">Multiple-resistance to ivermectin and benzimidazole of a </w:t>
      </w:r>
      <w:proofErr w:type="spellStart"/>
      <w:r w:rsidRPr="00C85A87">
        <w:rPr>
          <w:rFonts w:cstheme="minorHAnsi"/>
          <w:color w:val="000000"/>
          <w:lang w:val="en-GB"/>
        </w:rPr>
        <w:t>Haemonchus</w:t>
      </w:r>
      <w:proofErr w:type="spellEnd"/>
      <w:r w:rsidRPr="00C85A87">
        <w:rPr>
          <w:rFonts w:cstheme="minorHAnsi"/>
          <w:color w:val="000000"/>
          <w:lang w:val="en-GB"/>
        </w:rPr>
        <w:t xml:space="preserve"> </w:t>
      </w:r>
      <w:proofErr w:type="spellStart"/>
      <w:r w:rsidRPr="00C85A87">
        <w:rPr>
          <w:rFonts w:cstheme="minorHAnsi"/>
          <w:color w:val="000000"/>
          <w:lang w:val="en-GB"/>
        </w:rPr>
        <w:t>contortus</w:t>
      </w:r>
      <w:proofErr w:type="spellEnd"/>
      <w:r w:rsidRPr="00C85A87">
        <w:rPr>
          <w:rFonts w:cstheme="minorHAnsi"/>
          <w:color w:val="000000"/>
          <w:lang w:val="en-GB"/>
        </w:rPr>
        <w:t xml:space="preserve"> population in a sheep flock from mainland France, first report. Veterinary Parasitology: Regional Studies and Reports 2018, 14, 103-105.</w:t>
      </w:r>
    </w:p>
    <w:p w14:paraId="1616E51F" w14:textId="79551655" w:rsidR="009F7631" w:rsidRPr="00E9284B" w:rsidRDefault="00D86AB6" w:rsidP="009F7631">
      <w:pPr>
        <w:rPr>
          <w:rFonts w:cstheme="minorHAnsi"/>
          <w:color w:val="000000"/>
        </w:rPr>
      </w:pPr>
      <w:proofErr w:type="spellStart"/>
      <w:r w:rsidRPr="00C85A87">
        <w:rPr>
          <w:rFonts w:cstheme="minorHAnsi"/>
          <w:color w:val="000000"/>
          <w:lang w:val="en-GB"/>
        </w:rPr>
        <w:t>C</w:t>
      </w:r>
      <w:r w:rsidR="00754ED6" w:rsidRPr="00C85A87">
        <w:rPr>
          <w:rFonts w:cstheme="minorHAnsi"/>
          <w:color w:val="000000"/>
          <w:lang w:val="en-GB"/>
        </w:rPr>
        <w:t>Harlier</w:t>
      </w:r>
      <w:proofErr w:type="spellEnd"/>
      <w:r w:rsidR="00754ED6" w:rsidRPr="00C85A87">
        <w:rPr>
          <w:rFonts w:cstheme="minorHAnsi"/>
          <w:color w:val="000000"/>
          <w:lang w:val="en-GB"/>
        </w:rPr>
        <w:t xml:space="preserve"> J., Morgan E., Rinaldi L. et al.</w:t>
      </w:r>
      <w:r w:rsidRPr="00C85A87">
        <w:rPr>
          <w:rFonts w:cstheme="minorHAnsi"/>
          <w:color w:val="000000"/>
          <w:lang w:val="en-GB"/>
        </w:rPr>
        <w:t xml:space="preserve"> Practices </w:t>
      </w:r>
      <w:proofErr w:type="gramStart"/>
      <w:r w:rsidRPr="00C85A87">
        <w:rPr>
          <w:rFonts w:cstheme="minorHAnsi"/>
          <w:color w:val="000000"/>
          <w:lang w:val="en-GB"/>
        </w:rPr>
        <w:t>to optimize</w:t>
      </w:r>
      <w:proofErr w:type="gramEnd"/>
      <w:r w:rsidRPr="00C85A87">
        <w:rPr>
          <w:rFonts w:cstheme="minorHAnsi"/>
          <w:color w:val="000000"/>
          <w:lang w:val="en-GB"/>
        </w:rPr>
        <w:t xml:space="preserve"> gastrointestinal nematode control on sheep, goat and cattle farms in Europe using targeted (selective) treatments. </w:t>
      </w:r>
      <w:proofErr w:type="spellStart"/>
      <w:r w:rsidRPr="00E9284B">
        <w:rPr>
          <w:rFonts w:cstheme="minorHAnsi"/>
          <w:color w:val="000000"/>
        </w:rPr>
        <w:t>Vet</w:t>
      </w:r>
      <w:proofErr w:type="spellEnd"/>
      <w:r w:rsidRPr="00E9284B">
        <w:rPr>
          <w:rFonts w:cstheme="minorHAnsi"/>
          <w:color w:val="000000"/>
        </w:rPr>
        <w:t xml:space="preserve">. Rec. </w:t>
      </w:r>
      <w:r w:rsidR="00754ED6" w:rsidRPr="00E9284B">
        <w:rPr>
          <w:rFonts w:cstheme="minorHAnsi"/>
          <w:color w:val="000000"/>
        </w:rPr>
        <w:t xml:space="preserve">2014, </w:t>
      </w:r>
      <w:r w:rsidRPr="00E9284B">
        <w:rPr>
          <w:rFonts w:cstheme="minorHAnsi"/>
          <w:color w:val="000000"/>
        </w:rPr>
        <w:t>175, 250-255.</w:t>
      </w:r>
    </w:p>
    <w:p w14:paraId="51445B0E" w14:textId="3D12B21F" w:rsidR="009F7631" w:rsidRPr="009F7631" w:rsidRDefault="009F7631" w:rsidP="009F7631">
      <w:pPr>
        <w:rPr>
          <w:rFonts w:cstheme="minorHAnsi"/>
          <w:color w:val="000000"/>
        </w:rPr>
      </w:pPr>
      <w:r w:rsidRPr="00E9284B">
        <w:rPr>
          <w:rFonts w:cstheme="minorHAnsi"/>
          <w:color w:val="000000"/>
        </w:rPr>
        <w:t xml:space="preserve">Chartier </w:t>
      </w:r>
      <w:r w:rsidRPr="009F7631">
        <w:rPr>
          <w:rFonts w:cstheme="minorHAnsi"/>
          <w:color w:val="000000"/>
        </w:rPr>
        <w:t xml:space="preserve">A. Etat des lieux des pratiques de maîtrise des strongyloses digestives en élevage caprin pâturant. Approche sociologique des utilisateurs de la phytothérapie. Thèse de Doctorat Vétérinaire, </w:t>
      </w:r>
      <w:proofErr w:type="spellStart"/>
      <w:r w:rsidRPr="009F7631">
        <w:rPr>
          <w:rFonts w:cstheme="minorHAnsi"/>
          <w:color w:val="000000"/>
        </w:rPr>
        <w:t>Oniris</w:t>
      </w:r>
      <w:proofErr w:type="spellEnd"/>
      <w:r w:rsidRPr="009F7631">
        <w:rPr>
          <w:rFonts w:cstheme="minorHAnsi"/>
          <w:color w:val="000000"/>
        </w:rPr>
        <w:t>-Ecole Nationale Vétérinaire, Nantes, 2014, 118 p.</w:t>
      </w:r>
    </w:p>
    <w:p w14:paraId="2E50150D" w14:textId="2E0F9C82" w:rsidR="009F7631" w:rsidRPr="00E9284B" w:rsidRDefault="00B51C19" w:rsidP="00B51C19">
      <w:pPr>
        <w:rPr>
          <w:rFonts w:cstheme="minorHAnsi"/>
          <w:color w:val="000000"/>
        </w:rPr>
      </w:pPr>
      <w:r w:rsidRPr="00E9284B">
        <w:rPr>
          <w:rFonts w:cstheme="minorHAnsi"/>
          <w:color w:val="000000"/>
        </w:rPr>
        <w:t>Chartier C. Fresnay E., Guilbert-Julien L. et al. Inefficacité et résistance : place de la pharmacovigilance pour les anthelminthiques. Journées Nationales des Groupements Techniques Vétérinaires, Nantes, 2020, 683-687.</w:t>
      </w:r>
    </w:p>
    <w:p w14:paraId="6AE0A5BC" w14:textId="768E2886" w:rsidR="009F7631" w:rsidRPr="00E9284B" w:rsidRDefault="009F7631">
      <w:pPr>
        <w:rPr>
          <w:rFonts w:cstheme="minorHAnsi"/>
          <w:color w:val="000000"/>
        </w:rPr>
      </w:pPr>
      <w:proofErr w:type="spellStart"/>
      <w:r w:rsidRPr="00E9284B">
        <w:rPr>
          <w:rFonts w:cstheme="minorHAnsi"/>
          <w:color w:val="000000"/>
        </w:rPr>
        <w:t>Couasnon</w:t>
      </w:r>
      <w:proofErr w:type="spellEnd"/>
      <w:r w:rsidRPr="00E9284B">
        <w:rPr>
          <w:rFonts w:cstheme="minorHAnsi"/>
          <w:color w:val="000000"/>
        </w:rPr>
        <w:t xml:space="preserve"> F. Méthode de détection des suspicions d’inefficacité de l’</w:t>
      </w:r>
      <w:proofErr w:type="spellStart"/>
      <w:r w:rsidRPr="00E9284B">
        <w:rPr>
          <w:rFonts w:cstheme="minorHAnsi"/>
          <w:color w:val="000000"/>
        </w:rPr>
        <w:t>éprinomectine</w:t>
      </w:r>
      <w:proofErr w:type="spellEnd"/>
      <w:r w:rsidRPr="00E9284B">
        <w:rPr>
          <w:rFonts w:cstheme="minorHAnsi"/>
          <w:color w:val="000000"/>
        </w:rPr>
        <w:t xml:space="preserve"> administrée par voie topique chez les caprins laitiers. Thèse de Doctorat Vétérinaire, </w:t>
      </w:r>
      <w:proofErr w:type="spellStart"/>
      <w:r w:rsidRPr="00E9284B">
        <w:rPr>
          <w:rFonts w:cstheme="minorHAnsi"/>
          <w:color w:val="000000"/>
        </w:rPr>
        <w:t>Oniris</w:t>
      </w:r>
      <w:proofErr w:type="spellEnd"/>
      <w:r w:rsidRPr="00E9284B">
        <w:rPr>
          <w:rFonts w:cstheme="minorHAnsi"/>
          <w:color w:val="000000"/>
        </w:rPr>
        <w:t>-Ecole Nationale Vétérinaire, Nantes, 2019,157 p. </w:t>
      </w:r>
    </w:p>
    <w:p w14:paraId="386856CD" w14:textId="7FF431DA" w:rsidR="00754ED6" w:rsidRPr="00C85A87" w:rsidRDefault="00754ED6" w:rsidP="00754ED6">
      <w:pPr>
        <w:rPr>
          <w:rFonts w:cstheme="minorHAnsi"/>
          <w:color w:val="000000"/>
          <w:lang w:val="en-GB"/>
        </w:rPr>
      </w:pPr>
      <w:r w:rsidRPr="00E9284B">
        <w:rPr>
          <w:rFonts w:cstheme="minorHAnsi"/>
          <w:color w:val="000000"/>
        </w:rPr>
        <w:t xml:space="preserve">Falzon L.C., O’Neill T.J., Menzies P.I. et al. </w:t>
      </w:r>
      <w:r w:rsidRPr="00C85A87">
        <w:rPr>
          <w:rFonts w:cstheme="minorHAnsi"/>
          <w:color w:val="000000"/>
          <w:lang w:val="en-GB"/>
        </w:rPr>
        <w:t xml:space="preserve">A systematic review and meta-analysis of factors associated with anthelmintic resistance in sheep. </w:t>
      </w:r>
      <w:proofErr w:type="spellStart"/>
      <w:r w:rsidRPr="00C85A87">
        <w:rPr>
          <w:rFonts w:cstheme="minorHAnsi"/>
          <w:color w:val="000000"/>
          <w:lang w:val="en-GB"/>
        </w:rPr>
        <w:t>Prev</w:t>
      </w:r>
      <w:proofErr w:type="spellEnd"/>
      <w:r w:rsidRPr="00C85A87">
        <w:rPr>
          <w:rFonts w:cstheme="minorHAnsi"/>
          <w:color w:val="000000"/>
          <w:lang w:val="en-GB"/>
        </w:rPr>
        <w:t xml:space="preserve"> Vet Med 2014, 117:388-402</w:t>
      </w:r>
    </w:p>
    <w:p w14:paraId="034DE099" w14:textId="6DFEE83B" w:rsidR="00220432" w:rsidRPr="00BA5CF4" w:rsidRDefault="00D86AB6">
      <w:pPr>
        <w:rPr>
          <w:rFonts w:cstheme="minorHAnsi"/>
          <w:color w:val="000000"/>
          <w:lang w:val="en-GB"/>
        </w:rPr>
      </w:pPr>
      <w:r w:rsidRPr="00E9284B">
        <w:rPr>
          <w:rFonts w:cstheme="minorHAnsi"/>
          <w:color w:val="000000"/>
          <w:lang w:val="en-GB"/>
        </w:rPr>
        <w:t xml:space="preserve"> </w:t>
      </w:r>
      <w:hyperlink r:id="rId9" w:history="1">
        <w:r w:rsidRPr="00E9284B">
          <w:rPr>
            <w:rFonts w:cstheme="minorHAnsi"/>
            <w:color w:val="000000"/>
            <w:lang w:val="en-GB"/>
          </w:rPr>
          <w:t>K</w:t>
        </w:r>
        <w:r w:rsidR="00E9284B" w:rsidRPr="00E9284B">
          <w:rPr>
            <w:rFonts w:cstheme="minorHAnsi"/>
            <w:color w:val="000000"/>
            <w:lang w:val="en-GB"/>
          </w:rPr>
          <w:t>enyon</w:t>
        </w:r>
        <w:r w:rsidRPr="00E9284B">
          <w:rPr>
            <w:rFonts w:cstheme="minorHAnsi"/>
            <w:color w:val="000000"/>
            <w:lang w:val="en-GB"/>
          </w:rPr>
          <w:t xml:space="preserve"> F</w:t>
        </w:r>
      </w:hyperlink>
      <w:r w:rsidRPr="00E9284B">
        <w:rPr>
          <w:rFonts w:cstheme="minorHAnsi"/>
          <w:color w:val="000000"/>
          <w:lang w:val="en-GB"/>
        </w:rPr>
        <w:t xml:space="preserve">., </w:t>
      </w:r>
      <w:hyperlink r:id="rId10" w:history="1">
        <w:r w:rsidRPr="00E9284B">
          <w:rPr>
            <w:rFonts w:cstheme="minorHAnsi"/>
            <w:color w:val="000000"/>
            <w:lang w:val="en-GB"/>
          </w:rPr>
          <w:t>G</w:t>
        </w:r>
        <w:r w:rsidR="00E9284B">
          <w:rPr>
            <w:rFonts w:cstheme="minorHAnsi"/>
            <w:color w:val="000000"/>
            <w:lang w:val="en-GB"/>
          </w:rPr>
          <w:t>reer</w:t>
        </w:r>
        <w:r w:rsidRPr="00E9284B">
          <w:rPr>
            <w:rFonts w:cstheme="minorHAnsi"/>
            <w:color w:val="000000"/>
            <w:lang w:val="en-GB"/>
          </w:rPr>
          <w:t xml:space="preserve">  A.W</w:t>
        </w:r>
      </w:hyperlink>
      <w:r w:rsidRPr="00E9284B">
        <w:rPr>
          <w:rFonts w:cstheme="minorHAnsi"/>
          <w:color w:val="000000"/>
          <w:lang w:val="en-GB"/>
        </w:rPr>
        <w:t xml:space="preserve">., </w:t>
      </w:r>
      <w:hyperlink r:id="rId11" w:history="1">
        <w:r w:rsidRPr="00E9284B">
          <w:rPr>
            <w:rFonts w:cstheme="minorHAnsi"/>
            <w:color w:val="000000"/>
            <w:lang w:val="en-GB"/>
          </w:rPr>
          <w:t>C</w:t>
        </w:r>
        <w:r w:rsidR="00E9284B">
          <w:rPr>
            <w:rFonts w:cstheme="minorHAnsi"/>
            <w:color w:val="000000"/>
            <w:lang w:val="en-GB"/>
          </w:rPr>
          <w:t>oles</w:t>
        </w:r>
        <w:r w:rsidRPr="00E9284B">
          <w:rPr>
            <w:rFonts w:cstheme="minorHAnsi"/>
            <w:color w:val="000000"/>
            <w:lang w:val="en-GB"/>
          </w:rPr>
          <w:t xml:space="preserve"> G.C</w:t>
        </w:r>
      </w:hyperlink>
      <w:r w:rsidRPr="00E9284B">
        <w:rPr>
          <w:rFonts w:cstheme="minorHAnsi"/>
          <w:color w:val="000000"/>
          <w:lang w:val="en-GB"/>
        </w:rPr>
        <w:t>. et al. The role of targeted selective treatments in the development of refugia-based approaches to the control of gastrointestinal ne</w:t>
      </w:r>
      <w:r w:rsidRPr="00BA5CF4">
        <w:rPr>
          <w:rFonts w:cstheme="minorHAnsi"/>
          <w:color w:val="000000"/>
          <w:lang w:val="en-GB"/>
        </w:rPr>
        <w:t xml:space="preserve">matodes of small ruminants. Vet. </w:t>
      </w:r>
      <w:proofErr w:type="spellStart"/>
      <w:r w:rsidRPr="00BA5CF4">
        <w:rPr>
          <w:rFonts w:cstheme="minorHAnsi"/>
          <w:color w:val="000000"/>
          <w:lang w:val="en-GB"/>
        </w:rPr>
        <w:t>Parasitol</w:t>
      </w:r>
      <w:proofErr w:type="spellEnd"/>
      <w:r w:rsidRPr="00BA5CF4">
        <w:rPr>
          <w:rFonts w:cstheme="minorHAnsi"/>
          <w:color w:val="000000"/>
          <w:lang w:val="en-GB"/>
        </w:rPr>
        <w:t xml:space="preserve">. </w:t>
      </w:r>
      <w:r w:rsidR="00E9284B" w:rsidRPr="00BA5CF4">
        <w:rPr>
          <w:rFonts w:cstheme="minorHAnsi"/>
          <w:color w:val="000000"/>
          <w:lang w:val="en-GB"/>
        </w:rPr>
        <w:t xml:space="preserve">2009, </w:t>
      </w:r>
      <w:r w:rsidRPr="00BA5CF4">
        <w:rPr>
          <w:rFonts w:cstheme="minorHAnsi"/>
          <w:color w:val="000000"/>
          <w:lang w:val="en-GB"/>
        </w:rPr>
        <w:t>164, 3-11.</w:t>
      </w:r>
    </w:p>
    <w:p w14:paraId="70A8D8A4" w14:textId="188BF0BC" w:rsidR="009F7631" w:rsidRPr="00E9284B" w:rsidRDefault="00883F6C">
      <w:pPr>
        <w:rPr>
          <w:rFonts w:cstheme="minorHAnsi"/>
          <w:color w:val="000000"/>
        </w:rPr>
      </w:pPr>
      <w:hyperlink r:id="rId12" w:history="1">
        <w:proofErr w:type="spellStart"/>
        <w:r w:rsidR="009F7631" w:rsidRPr="00BA5CF4">
          <w:rPr>
            <w:rFonts w:cstheme="minorHAnsi"/>
            <w:color w:val="000000"/>
            <w:lang w:val="en-GB"/>
          </w:rPr>
          <w:t>Milhes</w:t>
        </w:r>
        <w:proofErr w:type="spellEnd"/>
        <w:r w:rsidR="009F7631" w:rsidRPr="00BA5CF4">
          <w:rPr>
            <w:rFonts w:cstheme="minorHAnsi"/>
            <w:color w:val="000000"/>
            <w:lang w:val="en-GB"/>
          </w:rPr>
          <w:t xml:space="preserve"> M</w:t>
        </w:r>
      </w:hyperlink>
      <w:r w:rsidR="009F7631" w:rsidRPr="00BA5CF4">
        <w:rPr>
          <w:rFonts w:cstheme="minorHAnsi"/>
          <w:color w:val="000000"/>
          <w:lang w:val="en-GB"/>
        </w:rPr>
        <w:t xml:space="preserve">., </w:t>
      </w:r>
      <w:proofErr w:type="spellStart"/>
      <w:r w:rsidR="009F7631" w:rsidRPr="00BA5CF4">
        <w:rPr>
          <w:rFonts w:cstheme="minorHAnsi"/>
          <w:color w:val="000000"/>
          <w:lang w:val="en-GB"/>
        </w:rPr>
        <w:t>Guillerm</w:t>
      </w:r>
      <w:proofErr w:type="spellEnd"/>
      <w:r w:rsidR="009F7631" w:rsidRPr="00BA5CF4">
        <w:rPr>
          <w:rFonts w:cstheme="minorHAnsi"/>
          <w:color w:val="000000"/>
          <w:lang w:val="en-GB"/>
        </w:rPr>
        <w:t xml:space="preserve"> M., Robin M.et al. </w:t>
      </w:r>
      <w:r w:rsidR="009F7631" w:rsidRPr="00C85A87">
        <w:rPr>
          <w:rFonts w:cstheme="minorHAnsi"/>
          <w:color w:val="000000"/>
          <w:lang w:val="en-GB"/>
        </w:rPr>
        <w:t>A real-time PCR approach to identify anthelmintic-resistant nematodes in sheep farms.</w:t>
      </w:r>
      <w:hyperlink r:id="rId13" w:tooltip="Parasitology research." w:history="1">
        <w:proofErr w:type="spellStart"/>
        <w:r w:rsidR="009F7631" w:rsidRPr="00E9284B">
          <w:rPr>
            <w:rFonts w:cstheme="minorHAnsi"/>
            <w:color w:val="000000"/>
          </w:rPr>
          <w:t>Parasitol</w:t>
        </w:r>
        <w:proofErr w:type="spellEnd"/>
        <w:r w:rsidR="009F7631" w:rsidRPr="00E9284B">
          <w:rPr>
            <w:rFonts w:cstheme="minorHAnsi"/>
            <w:color w:val="000000"/>
          </w:rPr>
          <w:t xml:space="preserve"> </w:t>
        </w:r>
        <w:proofErr w:type="spellStart"/>
        <w:r w:rsidR="009F7631" w:rsidRPr="00E9284B">
          <w:rPr>
            <w:rFonts w:cstheme="minorHAnsi"/>
            <w:color w:val="000000"/>
          </w:rPr>
          <w:t>Res</w:t>
        </w:r>
        <w:proofErr w:type="spellEnd"/>
        <w:r w:rsidR="009F7631" w:rsidRPr="00E9284B">
          <w:rPr>
            <w:rFonts w:cstheme="minorHAnsi"/>
            <w:color w:val="000000"/>
          </w:rPr>
          <w:t>.</w:t>
        </w:r>
      </w:hyperlink>
      <w:r w:rsidR="009F7631" w:rsidRPr="00E9284B">
        <w:rPr>
          <w:rFonts w:cstheme="minorHAnsi"/>
          <w:color w:val="000000"/>
        </w:rPr>
        <w:t xml:space="preserve"> 2017, 116, 909-920</w:t>
      </w:r>
    </w:p>
    <w:p w14:paraId="4CFF16D6" w14:textId="425D0C47" w:rsidR="00754ED6" w:rsidRPr="00C85A87" w:rsidRDefault="00754ED6" w:rsidP="00754ED6">
      <w:pPr>
        <w:rPr>
          <w:rFonts w:cstheme="minorHAnsi"/>
          <w:color w:val="000000"/>
          <w:lang w:val="en-GB"/>
        </w:rPr>
      </w:pPr>
      <w:r w:rsidRPr="00E9284B">
        <w:rPr>
          <w:rFonts w:cstheme="minorHAnsi"/>
          <w:color w:val="000000"/>
        </w:rPr>
        <w:t xml:space="preserve"> </w:t>
      </w:r>
      <w:proofErr w:type="spellStart"/>
      <w:r w:rsidRPr="00E9284B">
        <w:rPr>
          <w:rFonts w:cstheme="minorHAnsi"/>
          <w:color w:val="000000"/>
        </w:rPr>
        <w:t>Paraud</w:t>
      </w:r>
      <w:proofErr w:type="spellEnd"/>
      <w:r w:rsidRPr="00E9284B">
        <w:rPr>
          <w:rFonts w:cstheme="minorHAnsi"/>
          <w:color w:val="000000"/>
        </w:rPr>
        <w:t xml:space="preserve"> C., </w:t>
      </w:r>
      <w:proofErr w:type="spellStart"/>
      <w:r w:rsidRPr="00E9284B">
        <w:rPr>
          <w:rFonts w:cstheme="minorHAnsi"/>
          <w:color w:val="000000"/>
        </w:rPr>
        <w:t>Kulo</w:t>
      </w:r>
      <w:proofErr w:type="spellEnd"/>
      <w:r w:rsidRPr="00E9284B">
        <w:rPr>
          <w:rFonts w:cstheme="minorHAnsi"/>
          <w:color w:val="000000"/>
        </w:rPr>
        <w:t xml:space="preserve"> A., </w:t>
      </w:r>
      <w:proofErr w:type="spellStart"/>
      <w:r w:rsidRPr="00E9284B">
        <w:rPr>
          <w:rFonts w:cstheme="minorHAnsi"/>
          <w:color w:val="000000"/>
        </w:rPr>
        <w:t>Pors</w:t>
      </w:r>
      <w:proofErr w:type="spellEnd"/>
      <w:r w:rsidRPr="00E9284B">
        <w:rPr>
          <w:rFonts w:cstheme="minorHAnsi"/>
          <w:color w:val="000000"/>
        </w:rPr>
        <w:t xml:space="preserve"> I., et al.  </w:t>
      </w:r>
      <w:r w:rsidRPr="00C85A87">
        <w:rPr>
          <w:rFonts w:cstheme="minorHAnsi"/>
          <w:color w:val="000000"/>
          <w:lang w:val="en-GB"/>
        </w:rPr>
        <w:t xml:space="preserve">Resistance of goat nematodes to multiple anthelmintics on a farm in France. Vet Rec 2009, 164:563-564 </w:t>
      </w:r>
    </w:p>
    <w:p w14:paraId="4E30512D" w14:textId="2EA712AD" w:rsidR="009F7631" w:rsidRPr="00E9284B" w:rsidRDefault="009F7631">
      <w:pPr>
        <w:rPr>
          <w:rFonts w:cstheme="minorHAnsi"/>
          <w:color w:val="000000"/>
        </w:rPr>
      </w:pPr>
      <w:proofErr w:type="spellStart"/>
      <w:r w:rsidRPr="00C85A87">
        <w:rPr>
          <w:rFonts w:cstheme="minorHAnsi"/>
          <w:color w:val="000000"/>
          <w:lang w:val="en-GB"/>
        </w:rPr>
        <w:t>Paraud</w:t>
      </w:r>
      <w:proofErr w:type="spellEnd"/>
      <w:r w:rsidRPr="00C85A87">
        <w:rPr>
          <w:rFonts w:cstheme="minorHAnsi"/>
          <w:color w:val="000000"/>
          <w:lang w:val="en-GB"/>
        </w:rPr>
        <w:t xml:space="preserve"> C., </w:t>
      </w:r>
      <w:proofErr w:type="spellStart"/>
      <w:r w:rsidRPr="00C85A87">
        <w:rPr>
          <w:rFonts w:cstheme="minorHAnsi"/>
          <w:color w:val="000000"/>
          <w:lang w:val="en-GB"/>
        </w:rPr>
        <w:t>Marcotty</w:t>
      </w:r>
      <w:proofErr w:type="spellEnd"/>
      <w:r w:rsidRPr="00C85A87">
        <w:rPr>
          <w:rFonts w:cstheme="minorHAnsi"/>
          <w:color w:val="000000"/>
          <w:lang w:val="en-GB"/>
        </w:rPr>
        <w:t xml:space="preserve"> T., </w:t>
      </w:r>
      <w:proofErr w:type="spellStart"/>
      <w:r w:rsidRPr="00C85A87">
        <w:rPr>
          <w:rFonts w:cstheme="minorHAnsi"/>
          <w:color w:val="000000"/>
          <w:lang w:val="en-GB"/>
        </w:rPr>
        <w:t>Lespine</w:t>
      </w:r>
      <w:proofErr w:type="spellEnd"/>
      <w:r w:rsidRPr="00C85A87">
        <w:rPr>
          <w:rFonts w:cstheme="minorHAnsi"/>
          <w:color w:val="000000"/>
          <w:lang w:val="en-GB"/>
        </w:rPr>
        <w:t xml:space="preserve"> A. et al. Cross-resistance to moxidectin and ivermectin on a meat sheep farm in France. </w:t>
      </w:r>
      <w:proofErr w:type="spellStart"/>
      <w:r w:rsidRPr="00E9284B">
        <w:rPr>
          <w:rFonts w:cstheme="minorHAnsi"/>
          <w:color w:val="000000"/>
        </w:rPr>
        <w:t>Vet</w:t>
      </w:r>
      <w:proofErr w:type="spellEnd"/>
      <w:r w:rsidRPr="00E9284B">
        <w:rPr>
          <w:rFonts w:cstheme="minorHAnsi"/>
          <w:color w:val="000000"/>
        </w:rPr>
        <w:t xml:space="preserve"> </w:t>
      </w:r>
      <w:proofErr w:type="spellStart"/>
      <w:r w:rsidRPr="00E9284B">
        <w:rPr>
          <w:rFonts w:cstheme="minorHAnsi"/>
          <w:color w:val="000000"/>
        </w:rPr>
        <w:t>Parasitol</w:t>
      </w:r>
      <w:proofErr w:type="spellEnd"/>
      <w:r w:rsidRPr="00E9284B">
        <w:rPr>
          <w:rFonts w:cstheme="minorHAnsi"/>
          <w:color w:val="000000"/>
        </w:rPr>
        <w:t>. 2016, 226, 88-92.</w:t>
      </w:r>
    </w:p>
    <w:p w14:paraId="7F36EF7D" w14:textId="2F94ED9B" w:rsidR="00220432" w:rsidRPr="00C85A87" w:rsidRDefault="00754ED6">
      <w:pPr>
        <w:rPr>
          <w:rFonts w:cstheme="minorHAnsi"/>
          <w:color w:val="000000"/>
          <w:lang w:val="en-GB"/>
        </w:rPr>
      </w:pPr>
      <w:proofErr w:type="spellStart"/>
      <w:r w:rsidRPr="00C85A87">
        <w:rPr>
          <w:rFonts w:cstheme="minorHAnsi"/>
          <w:color w:val="000000"/>
          <w:lang w:val="en-GB"/>
        </w:rPr>
        <w:t>Paraud</w:t>
      </w:r>
      <w:proofErr w:type="spellEnd"/>
      <w:r w:rsidRPr="00C85A87">
        <w:rPr>
          <w:rFonts w:cstheme="minorHAnsi"/>
          <w:color w:val="000000"/>
          <w:lang w:val="en-GB"/>
        </w:rPr>
        <w:t xml:space="preserve"> C., Chartier C. Facing anthelmintic resistance in goats. </w:t>
      </w:r>
      <w:proofErr w:type="gramStart"/>
      <w:r w:rsidRPr="00C85A87">
        <w:rPr>
          <w:rFonts w:cstheme="minorHAnsi"/>
          <w:color w:val="000000"/>
          <w:lang w:val="en-GB"/>
        </w:rPr>
        <w:t>In :</w:t>
      </w:r>
      <w:proofErr w:type="gramEnd"/>
      <w:r w:rsidRPr="00C85A87">
        <w:rPr>
          <w:rFonts w:cstheme="minorHAnsi"/>
          <w:color w:val="000000"/>
          <w:lang w:val="en-GB"/>
        </w:rPr>
        <w:t xml:space="preserve"> Sustainable goat production in adverse environments – Welfare, Health and Breeding, vol 1, </w:t>
      </w:r>
      <w:proofErr w:type="spellStart"/>
      <w:r w:rsidRPr="00C85A87">
        <w:rPr>
          <w:rFonts w:cstheme="minorHAnsi"/>
          <w:color w:val="000000"/>
          <w:lang w:val="en-GB"/>
        </w:rPr>
        <w:t>Simoes</w:t>
      </w:r>
      <w:proofErr w:type="spellEnd"/>
      <w:r w:rsidRPr="00C85A87">
        <w:rPr>
          <w:rFonts w:cstheme="minorHAnsi"/>
          <w:color w:val="000000"/>
          <w:lang w:val="en-GB"/>
        </w:rPr>
        <w:t xml:space="preserve"> J. and Gutierrez C. (Eds.), Springer International Publishing, 2017, pp 267-292.</w:t>
      </w:r>
    </w:p>
    <w:p w14:paraId="61581659" w14:textId="683A68AC" w:rsidR="009F7631" w:rsidRPr="00C85A87" w:rsidRDefault="009F7631">
      <w:pPr>
        <w:rPr>
          <w:rFonts w:cstheme="minorHAnsi"/>
          <w:color w:val="000000"/>
          <w:lang w:val="en-GB"/>
        </w:rPr>
      </w:pPr>
      <w:r w:rsidRPr="00C85A87">
        <w:rPr>
          <w:rFonts w:cstheme="minorHAnsi"/>
          <w:color w:val="000000"/>
          <w:lang w:val="en-GB"/>
        </w:rPr>
        <w:lastRenderedPageBreak/>
        <w:t xml:space="preserve">Rose </w:t>
      </w:r>
      <w:proofErr w:type="spellStart"/>
      <w:r w:rsidRPr="00C85A87">
        <w:rPr>
          <w:rFonts w:cstheme="minorHAnsi"/>
          <w:color w:val="000000"/>
          <w:lang w:val="en-GB"/>
        </w:rPr>
        <w:t>Vineer</w:t>
      </w:r>
      <w:proofErr w:type="spellEnd"/>
      <w:r w:rsidRPr="00C85A87">
        <w:rPr>
          <w:rFonts w:cstheme="minorHAnsi"/>
          <w:color w:val="000000"/>
          <w:lang w:val="en-GB"/>
        </w:rPr>
        <w:t xml:space="preserve"> H., Morgan E.R., Hertzberg H. et al. Increasing importance of anthelmintic resistance in European livestock: creation and meta-analysis of an open database. Parasite, 2020, 27, 69, doi.org/10.1051/parasite/2020062</w:t>
      </w:r>
    </w:p>
    <w:p w14:paraId="1FDDA108" w14:textId="34413ED8" w:rsidR="00220432" w:rsidRPr="00E9284B" w:rsidRDefault="00220432">
      <w:pPr>
        <w:rPr>
          <w:rFonts w:cstheme="minorHAnsi"/>
          <w:color w:val="000000"/>
        </w:rPr>
      </w:pPr>
      <w:r w:rsidRPr="00C85A87">
        <w:rPr>
          <w:rFonts w:cstheme="minorHAnsi"/>
          <w:color w:val="000000"/>
          <w:lang w:val="en-GB"/>
        </w:rPr>
        <w:t xml:space="preserve">Taylor </w:t>
      </w:r>
      <w:r w:rsidR="00754ED6" w:rsidRPr="00C85A87">
        <w:rPr>
          <w:rFonts w:cstheme="minorHAnsi"/>
          <w:color w:val="000000"/>
          <w:lang w:val="en-GB"/>
        </w:rPr>
        <w:t xml:space="preserve">M.A. SCOPS and COWS ‘Worming it out of UK farmers’ Vet. </w:t>
      </w:r>
      <w:proofErr w:type="spellStart"/>
      <w:r w:rsidR="00754ED6" w:rsidRPr="00E9284B">
        <w:rPr>
          <w:rFonts w:cstheme="minorHAnsi"/>
          <w:color w:val="000000"/>
        </w:rPr>
        <w:t>Parasitol</w:t>
      </w:r>
      <w:proofErr w:type="spellEnd"/>
      <w:r w:rsidR="00754ED6" w:rsidRPr="00E9284B">
        <w:rPr>
          <w:rFonts w:cstheme="minorHAnsi"/>
          <w:color w:val="000000"/>
        </w:rPr>
        <w:t xml:space="preserve">. </w:t>
      </w:r>
      <w:r w:rsidRPr="00E9284B">
        <w:rPr>
          <w:rFonts w:cstheme="minorHAnsi"/>
          <w:color w:val="000000"/>
        </w:rPr>
        <w:t>2012</w:t>
      </w:r>
      <w:r w:rsidR="00754ED6" w:rsidRPr="00E9284B">
        <w:rPr>
          <w:rFonts w:cstheme="minorHAnsi"/>
          <w:color w:val="000000"/>
        </w:rPr>
        <w:t>, 186, 65-69.</w:t>
      </w:r>
    </w:p>
    <w:p w14:paraId="62146B28" w14:textId="77777777" w:rsidR="00220432" w:rsidRPr="00220432" w:rsidRDefault="00220432">
      <w:pPr>
        <w:rPr>
          <w:rFonts w:cstheme="minorHAnsi"/>
          <w:lang w:val="en-GB"/>
        </w:rPr>
      </w:pPr>
    </w:p>
    <w:p w14:paraId="19748D34" w14:textId="6215F3CD" w:rsidR="00220432" w:rsidRPr="00220432" w:rsidRDefault="00220432">
      <w:pPr>
        <w:rPr>
          <w:rFonts w:cstheme="minorHAnsi"/>
          <w:lang w:val="en-GB"/>
        </w:rPr>
      </w:pPr>
      <w:r w:rsidRPr="00220432">
        <w:rPr>
          <w:rFonts w:cstheme="minorHAnsi"/>
          <w:lang w:val="en-GB"/>
        </w:rPr>
        <w:br w:type="page"/>
      </w:r>
    </w:p>
    <w:p w14:paraId="431DB4E7" w14:textId="77777777" w:rsidR="00220432" w:rsidRPr="00220432" w:rsidRDefault="00220432">
      <w:pPr>
        <w:rPr>
          <w:rFonts w:cstheme="minorHAnsi"/>
          <w:lang w:val="en-GB"/>
        </w:rPr>
      </w:pPr>
    </w:p>
    <w:p w14:paraId="0C24EEE1" w14:textId="0EE93CA3" w:rsidR="00220432" w:rsidRPr="001549F1" w:rsidRDefault="00220432" w:rsidP="00220432">
      <w:pPr>
        <w:jc w:val="both"/>
        <w:rPr>
          <w:rFonts w:cstheme="minorHAnsi"/>
        </w:rPr>
      </w:pPr>
      <w:r w:rsidRPr="00C85A87">
        <w:rPr>
          <w:rFonts w:cstheme="minorHAnsi"/>
        </w:rPr>
        <w:t>Tableau 1 : Fréquence de la résistance des strongles gastro-intestinaux dans les élevages de petits ruminants en France métrop</w:t>
      </w:r>
      <w:r w:rsidRPr="001549F1">
        <w:rPr>
          <w:rFonts w:cstheme="minorHAnsi"/>
        </w:rPr>
        <w:t>olitaine selon la région et le type d’anthelminthiques (nombre d’élevages avec résistance/nombre total d’élevages enquêtés) (</w:t>
      </w:r>
      <w:r>
        <w:rPr>
          <w:rFonts w:cstheme="minorHAnsi"/>
        </w:rPr>
        <w:t>d’après</w:t>
      </w:r>
      <w:r w:rsidRPr="001549F1">
        <w:rPr>
          <w:rFonts w:cstheme="minorHAnsi"/>
        </w:rPr>
        <w:t xml:space="preserve"> </w:t>
      </w:r>
      <w:r>
        <w:rPr>
          <w:rFonts w:cstheme="minorHAnsi"/>
        </w:rPr>
        <w:t>Chartier et al., 2020</w:t>
      </w:r>
      <w:r w:rsidRPr="001549F1">
        <w:rPr>
          <w:rFonts w:cstheme="minorHAnsi"/>
        </w:rPr>
        <w:t>)</w:t>
      </w:r>
    </w:p>
    <w:tbl>
      <w:tblPr>
        <w:tblStyle w:val="Grilledutableau"/>
        <w:tblW w:w="0" w:type="auto"/>
        <w:tblLook w:val="04A0" w:firstRow="1" w:lastRow="0" w:firstColumn="1" w:lastColumn="0" w:noHBand="0" w:noVBand="1"/>
      </w:tblPr>
      <w:tblGrid>
        <w:gridCol w:w="1500"/>
        <w:gridCol w:w="1742"/>
        <w:gridCol w:w="2009"/>
        <w:gridCol w:w="1802"/>
        <w:gridCol w:w="2009"/>
      </w:tblGrid>
      <w:tr w:rsidR="00220432" w:rsidRPr="00FA410D" w14:paraId="6D3C5686" w14:textId="77777777" w:rsidTr="00220432">
        <w:tc>
          <w:tcPr>
            <w:tcW w:w="1500" w:type="dxa"/>
          </w:tcPr>
          <w:p w14:paraId="7FECE050" w14:textId="77777777" w:rsidR="00220432" w:rsidRPr="00FA410D" w:rsidRDefault="00220432" w:rsidP="000C3D17">
            <w:pPr>
              <w:jc w:val="both"/>
              <w:rPr>
                <w:rFonts w:cs="Arial"/>
              </w:rPr>
            </w:pPr>
            <w:r w:rsidRPr="00FA410D">
              <w:rPr>
                <w:rFonts w:cs="Arial"/>
              </w:rPr>
              <w:t>Espèce hôte</w:t>
            </w:r>
          </w:p>
        </w:tc>
        <w:tc>
          <w:tcPr>
            <w:tcW w:w="1742" w:type="dxa"/>
          </w:tcPr>
          <w:p w14:paraId="3D664E34" w14:textId="77777777" w:rsidR="00220432" w:rsidRPr="00FA410D" w:rsidRDefault="00220432" w:rsidP="000C3D17">
            <w:pPr>
              <w:jc w:val="both"/>
              <w:rPr>
                <w:rFonts w:cs="Arial"/>
              </w:rPr>
            </w:pPr>
            <w:r w:rsidRPr="00FA410D">
              <w:rPr>
                <w:rFonts w:cs="Arial"/>
              </w:rPr>
              <w:t>Région</w:t>
            </w:r>
          </w:p>
        </w:tc>
        <w:tc>
          <w:tcPr>
            <w:tcW w:w="2009" w:type="dxa"/>
          </w:tcPr>
          <w:p w14:paraId="18D30586" w14:textId="77777777" w:rsidR="00220432" w:rsidRPr="00FA410D" w:rsidRDefault="00220432" w:rsidP="000C3D17">
            <w:pPr>
              <w:jc w:val="both"/>
              <w:rPr>
                <w:rFonts w:cs="Arial"/>
              </w:rPr>
            </w:pPr>
            <w:proofErr w:type="spellStart"/>
            <w:r w:rsidRPr="00FA410D">
              <w:rPr>
                <w:rFonts w:cs="Arial"/>
              </w:rPr>
              <w:t>Benzimidazoles</w:t>
            </w:r>
            <w:proofErr w:type="spellEnd"/>
          </w:p>
        </w:tc>
        <w:tc>
          <w:tcPr>
            <w:tcW w:w="1802" w:type="dxa"/>
          </w:tcPr>
          <w:p w14:paraId="728796FB" w14:textId="77777777" w:rsidR="00220432" w:rsidRPr="00FA410D" w:rsidRDefault="00220432" w:rsidP="000C3D17">
            <w:pPr>
              <w:jc w:val="both"/>
              <w:rPr>
                <w:rFonts w:cs="Arial"/>
              </w:rPr>
            </w:pPr>
            <w:proofErr w:type="spellStart"/>
            <w:r w:rsidRPr="00FA410D">
              <w:rPr>
                <w:rFonts w:cs="Arial"/>
              </w:rPr>
              <w:t>Lévamisole</w:t>
            </w:r>
            <w:proofErr w:type="spellEnd"/>
          </w:p>
        </w:tc>
        <w:tc>
          <w:tcPr>
            <w:tcW w:w="2009" w:type="dxa"/>
          </w:tcPr>
          <w:p w14:paraId="56B808F4" w14:textId="77777777" w:rsidR="00220432" w:rsidRPr="00FA410D" w:rsidRDefault="00220432" w:rsidP="000C3D17">
            <w:pPr>
              <w:jc w:val="both"/>
              <w:rPr>
                <w:rFonts w:cs="Arial"/>
              </w:rPr>
            </w:pPr>
            <w:r w:rsidRPr="00FA410D">
              <w:rPr>
                <w:rFonts w:cs="Arial"/>
              </w:rPr>
              <w:t>Lactones Macrocycliques</w:t>
            </w:r>
          </w:p>
        </w:tc>
      </w:tr>
      <w:tr w:rsidR="00220432" w:rsidRPr="00FA410D" w14:paraId="2E028E99" w14:textId="77777777" w:rsidTr="00220432">
        <w:tc>
          <w:tcPr>
            <w:tcW w:w="1500" w:type="dxa"/>
          </w:tcPr>
          <w:p w14:paraId="3ED0435F" w14:textId="77777777" w:rsidR="00220432" w:rsidRPr="00FA410D" w:rsidRDefault="00220432" w:rsidP="000C3D17">
            <w:pPr>
              <w:jc w:val="both"/>
              <w:rPr>
                <w:rFonts w:cs="Arial"/>
              </w:rPr>
            </w:pPr>
            <w:r w:rsidRPr="00FA410D">
              <w:rPr>
                <w:rFonts w:cs="Arial"/>
              </w:rPr>
              <w:t>Ovin</w:t>
            </w:r>
          </w:p>
        </w:tc>
        <w:tc>
          <w:tcPr>
            <w:tcW w:w="1742" w:type="dxa"/>
          </w:tcPr>
          <w:p w14:paraId="56B5748B" w14:textId="77777777" w:rsidR="00220432" w:rsidRPr="00FA410D" w:rsidRDefault="00220432" w:rsidP="000C3D17">
            <w:pPr>
              <w:jc w:val="both"/>
              <w:rPr>
                <w:rFonts w:cs="Arial"/>
              </w:rPr>
            </w:pPr>
            <w:r w:rsidRPr="00FA410D">
              <w:rPr>
                <w:rFonts w:cs="Arial"/>
              </w:rPr>
              <w:t>Val de Loire</w:t>
            </w:r>
          </w:p>
        </w:tc>
        <w:tc>
          <w:tcPr>
            <w:tcW w:w="2009" w:type="dxa"/>
          </w:tcPr>
          <w:p w14:paraId="0A44DAF5" w14:textId="77777777" w:rsidR="00220432" w:rsidRPr="00FA410D" w:rsidRDefault="00220432" w:rsidP="000C3D17">
            <w:pPr>
              <w:jc w:val="both"/>
              <w:rPr>
                <w:rFonts w:cs="Arial"/>
              </w:rPr>
            </w:pPr>
            <w:r w:rsidRPr="00FA410D">
              <w:rPr>
                <w:rFonts w:cs="Arial"/>
              </w:rPr>
              <w:t>2/18</w:t>
            </w:r>
          </w:p>
        </w:tc>
        <w:tc>
          <w:tcPr>
            <w:tcW w:w="1802" w:type="dxa"/>
          </w:tcPr>
          <w:p w14:paraId="0E90900B" w14:textId="77777777" w:rsidR="00220432" w:rsidRPr="00FA410D" w:rsidRDefault="00220432" w:rsidP="000C3D17">
            <w:pPr>
              <w:jc w:val="both"/>
              <w:rPr>
                <w:rFonts w:cs="Arial"/>
              </w:rPr>
            </w:pPr>
            <w:r w:rsidRPr="00FA410D">
              <w:rPr>
                <w:rFonts w:cs="Arial"/>
              </w:rPr>
              <w:t>1/18</w:t>
            </w:r>
          </w:p>
        </w:tc>
        <w:tc>
          <w:tcPr>
            <w:tcW w:w="2009" w:type="dxa"/>
          </w:tcPr>
          <w:p w14:paraId="5AF2C1D2" w14:textId="77777777" w:rsidR="00220432" w:rsidRPr="00FA410D" w:rsidRDefault="00220432" w:rsidP="000C3D17">
            <w:pPr>
              <w:jc w:val="both"/>
              <w:rPr>
                <w:rFonts w:cs="Arial"/>
              </w:rPr>
            </w:pPr>
            <w:proofErr w:type="spellStart"/>
            <w:r w:rsidRPr="00FA410D">
              <w:rPr>
                <w:rFonts w:cs="Arial"/>
              </w:rPr>
              <w:t>n.e</w:t>
            </w:r>
            <w:proofErr w:type="spellEnd"/>
            <w:r w:rsidRPr="00FA410D">
              <w:rPr>
                <w:rFonts w:cs="Arial"/>
              </w:rPr>
              <w:t>.</w:t>
            </w:r>
          </w:p>
        </w:tc>
      </w:tr>
      <w:tr w:rsidR="00220432" w:rsidRPr="00FA410D" w14:paraId="1A8AF358" w14:textId="77777777" w:rsidTr="00220432">
        <w:tc>
          <w:tcPr>
            <w:tcW w:w="1500" w:type="dxa"/>
          </w:tcPr>
          <w:p w14:paraId="33256058" w14:textId="77777777" w:rsidR="00220432" w:rsidRPr="00FA410D" w:rsidRDefault="00220432" w:rsidP="000C3D17">
            <w:pPr>
              <w:jc w:val="both"/>
              <w:rPr>
                <w:rFonts w:cs="Arial"/>
              </w:rPr>
            </w:pPr>
          </w:p>
        </w:tc>
        <w:tc>
          <w:tcPr>
            <w:tcW w:w="1742" w:type="dxa"/>
          </w:tcPr>
          <w:p w14:paraId="3BEDE4DD" w14:textId="77777777" w:rsidR="00220432" w:rsidRPr="00FA410D" w:rsidRDefault="00220432" w:rsidP="000C3D17">
            <w:pPr>
              <w:jc w:val="both"/>
              <w:rPr>
                <w:rFonts w:cs="Arial"/>
              </w:rPr>
            </w:pPr>
            <w:r w:rsidRPr="00FA410D">
              <w:rPr>
                <w:rFonts w:cs="Arial"/>
              </w:rPr>
              <w:t>Deux-Sèvres</w:t>
            </w:r>
          </w:p>
        </w:tc>
        <w:tc>
          <w:tcPr>
            <w:tcW w:w="2009" w:type="dxa"/>
          </w:tcPr>
          <w:p w14:paraId="3071C468" w14:textId="77777777" w:rsidR="00220432" w:rsidRPr="00FA410D" w:rsidRDefault="00220432" w:rsidP="000C3D17">
            <w:pPr>
              <w:jc w:val="both"/>
              <w:rPr>
                <w:rFonts w:cs="Arial"/>
              </w:rPr>
            </w:pPr>
            <w:r w:rsidRPr="00FA410D">
              <w:rPr>
                <w:rFonts w:cs="Arial"/>
              </w:rPr>
              <w:t>19/23</w:t>
            </w:r>
          </w:p>
        </w:tc>
        <w:tc>
          <w:tcPr>
            <w:tcW w:w="1802" w:type="dxa"/>
          </w:tcPr>
          <w:p w14:paraId="1788A69F" w14:textId="77777777" w:rsidR="00220432" w:rsidRPr="00FA410D" w:rsidRDefault="00220432" w:rsidP="000C3D17">
            <w:pPr>
              <w:jc w:val="both"/>
              <w:rPr>
                <w:rFonts w:cs="Arial"/>
              </w:rPr>
            </w:pPr>
            <w:r w:rsidRPr="00FA410D">
              <w:rPr>
                <w:rFonts w:cs="Arial"/>
              </w:rPr>
              <w:t>9/18</w:t>
            </w:r>
          </w:p>
        </w:tc>
        <w:tc>
          <w:tcPr>
            <w:tcW w:w="2009" w:type="dxa"/>
          </w:tcPr>
          <w:p w14:paraId="706CD742" w14:textId="77777777" w:rsidR="00220432" w:rsidRPr="00FA410D" w:rsidRDefault="00220432" w:rsidP="000C3D17">
            <w:pPr>
              <w:jc w:val="both"/>
              <w:rPr>
                <w:rFonts w:cs="Arial"/>
              </w:rPr>
            </w:pPr>
            <w:r w:rsidRPr="00FA410D">
              <w:rPr>
                <w:rFonts w:cs="Arial"/>
              </w:rPr>
              <w:t>0/21</w:t>
            </w:r>
          </w:p>
        </w:tc>
      </w:tr>
      <w:tr w:rsidR="00220432" w:rsidRPr="00FA410D" w14:paraId="3F38FE51" w14:textId="77777777" w:rsidTr="00220432">
        <w:tc>
          <w:tcPr>
            <w:tcW w:w="1500" w:type="dxa"/>
          </w:tcPr>
          <w:p w14:paraId="5FA62DE4" w14:textId="77777777" w:rsidR="00220432" w:rsidRPr="00FA410D" w:rsidRDefault="00220432" w:rsidP="000C3D17">
            <w:pPr>
              <w:jc w:val="both"/>
              <w:rPr>
                <w:rFonts w:cs="Arial"/>
              </w:rPr>
            </w:pPr>
          </w:p>
        </w:tc>
        <w:tc>
          <w:tcPr>
            <w:tcW w:w="1742" w:type="dxa"/>
          </w:tcPr>
          <w:p w14:paraId="053B6324" w14:textId="77777777" w:rsidR="00220432" w:rsidRPr="00FA410D" w:rsidRDefault="00220432" w:rsidP="000C3D17">
            <w:pPr>
              <w:jc w:val="both"/>
              <w:rPr>
                <w:rFonts w:cs="Arial"/>
              </w:rPr>
            </w:pPr>
            <w:r w:rsidRPr="00FA410D">
              <w:rPr>
                <w:rFonts w:cs="Arial"/>
              </w:rPr>
              <w:t>Bretagne</w:t>
            </w:r>
          </w:p>
        </w:tc>
        <w:tc>
          <w:tcPr>
            <w:tcW w:w="2009" w:type="dxa"/>
          </w:tcPr>
          <w:p w14:paraId="5257115A" w14:textId="77777777" w:rsidR="00220432" w:rsidRPr="00FA410D" w:rsidRDefault="00220432" w:rsidP="000C3D17">
            <w:pPr>
              <w:jc w:val="both"/>
              <w:rPr>
                <w:rFonts w:cs="Arial"/>
              </w:rPr>
            </w:pPr>
            <w:r w:rsidRPr="00FA410D">
              <w:rPr>
                <w:rFonts w:cs="Arial"/>
              </w:rPr>
              <w:t>5/5</w:t>
            </w:r>
          </w:p>
        </w:tc>
        <w:tc>
          <w:tcPr>
            <w:tcW w:w="1802" w:type="dxa"/>
          </w:tcPr>
          <w:p w14:paraId="71418927" w14:textId="77777777" w:rsidR="00220432" w:rsidRPr="00FA410D" w:rsidRDefault="00220432" w:rsidP="000C3D17">
            <w:pPr>
              <w:jc w:val="both"/>
              <w:rPr>
                <w:rFonts w:cs="Arial"/>
              </w:rPr>
            </w:pPr>
            <w:r w:rsidRPr="00FA410D">
              <w:rPr>
                <w:rFonts w:cs="Arial"/>
              </w:rPr>
              <w:t>2/5*</w:t>
            </w:r>
          </w:p>
        </w:tc>
        <w:tc>
          <w:tcPr>
            <w:tcW w:w="2009" w:type="dxa"/>
          </w:tcPr>
          <w:p w14:paraId="7A3786BD" w14:textId="77777777" w:rsidR="00220432" w:rsidRPr="00FA410D" w:rsidRDefault="00220432" w:rsidP="000C3D17">
            <w:pPr>
              <w:jc w:val="both"/>
              <w:rPr>
                <w:rFonts w:cs="Arial"/>
              </w:rPr>
            </w:pPr>
            <w:r w:rsidRPr="00FA410D">
              <w:rPr>
                <w:rFonts w:cs="Arial"/>
              </w:rPr>
              <w:t>1/5*</w:t>
            </w:r>
          </w:p>
        </w:tc>
      </w:tr>
      <w:tr w:rsidR="00220432" w:rsidRPr="00FA410D" w14:paraId="278D6B7C" w14:textId="77777777" w:rsidTr="00220432">
        <w:tc>
          <w:tcPr>
            <w:tcW w:w="1500" w:type="dxa"/>
          </w:tcPr>
          <w:p w14:paraId="0881346F" w14:textId="77777777" w:rsidR="00220432" w:rsidRPr="00FA410D" w:rsidRDefault="00220432" w:rsidP="000C3D17">
            <w:pPr>
              <w:jc w:val="both"/>
              <w:rPr>
                <w:rFonts w:cs="Arial"/>
              </w:rPr>
            </w:pPr>
          </w:p>
        </w:tc>
        <w:tc>
          <w:tcPr>
            <w:tcW w:w="1742" w:type="dxa"/>
          </w:tcPr>
          <w:p w14:paraId="5FC532FB" w14:textId="77777777" w:rsidR="00220432" w:rsidRPr="00FA410D" w:rsidRDefault="00220432" w:rsidP="000C3D17">
            <w:pPr>
              <w:jc w:val="both"/>
              <w:rPr>
                <w:rFonts w:cs="Arial"/>
              </w:rPr>
            </w:pPr>
            <w:r w:rsidRPr="00FA410D">
              <w:rPr>
                <w:rFonts w:cs="Arial"/>
              </w:rPr>
              <w:t>Aveyron</w:t>
            </w:r>
          </w:p>
        </w:tc>
        <w:tc>
          <w:tcPr>
            <w:tcW w:w="2009" w:type="dxa"/>
          </w:tcPr>
          <w:p w14:paraId="2B41AAEA" w14:textId="77777777" w:rsidR="00220432" w:rsidRPr="00FA410D" w:rsidRDefault="00220432" w:rsidP="000C3D17">
            <w:pPr>
              <w:jc w:val="both"/>
              <w:rPr>
                <w:rFonts w:cs="Arial"/>
              </w:rPr>
            </w:pPr>
            <w:r w:rsidRPr="00FA410D">
              <w:rPr>
                <w:rFonts w:cs="Arial"/>
              </w:rPr>
              <w:t>5/5</w:t>
            </w:r>
          </w:p>
        </w:tc>
        <w:tc>
          <w:tcPr>
            <w:tcW w:w="1802" w:type="dxa"/>
          </w:tcPr>
          <w:p w14:paraId="1146A3C9" w14:textId="77777777" w:rsidR="00220432" w:rsidRPr="00FA410D" w:rsidRDefault="00220432" w:rsidP="000C3D17">
            <w:pPr>
              <w:jc w:val="both"/>
              <w:rPr>
                <w:rFonts w:cs="Arial"/>
              </w:rPr>
            </w:pPr>
            <w:proofErr w:type="spellStart"/>
            <w:r w:rsidRPr="00FA410D">
              <w:rPr>
                <w:rFonts w:cs="Arial"/>
              </w:rPr>
              <w:t>n.e</w:t>
            </w:r>
            <w:proofErr w:type="spellEnd"/>
            <w:r w:rsidRPr="00FA410D">
              <w:rPr>
                <w:rFonts w:cs="Arial"/>
              </w:rPr>
              <w:t>.</w:t>
            </w:r>
          </w:p>
        </w:tc>
        <w:tc>
          <w:tcPr>
            <w:tcW w:w="2009" w:type="dxa"/>
          </w:tcPr>
          <w:p w14:paraId="5E060227" w14:textId="77777777" w:rsidR="00220432" w:rsidRPr="00FA410D" w:rsidRDefault="00220432" w:rsidP="000C3D17">
            <w:pPr>
              <w:jc w:val="both"/>
              <w:rPr>
                <w:rFonts w:cs="Arial"/>
              </w:rPr>
            </w:pPr>
            <w:r w:rsidRPr="00FA410D">
              <w:rPr>
                <w:rFonts w:cs="Arial"/>
              </w:rPr>
              <w:t>0/5</w:t>
            </w:r>
          </w:p>
        </w:tc>
      </w:tr>
      <w:tr w:rsidR="00220432" w:rsidRPr="00FA410D" w14:paraId="4E7593C4" w14:textId="77777777" w:rsidTr="00220432">
        <w:tc>
          <w:tcPr>
            <w:tcW w:w="1500" w:type="dxa"/>
          </w:tcPr>
          <w:p w14:paraId="77613B4D" w14:textId="77777777" w:rsidR="00220432" w:rsidRPr="00FA410D" w:rsidRDefault="00220432" w:rsidP="000C3D17">
            <w:pPr>
              <w:jc w:val="both"/>
              <w:rPr>
                <w:rFonts w:cs="Arial"/>
              </w:rPr>
            </w:pPr>
          </w:p>
        </w:tc>
        <w:tc>
          <w:tcPr>
            <w:tcW w:w="1742" w:type="dxa"/>
          </w:tcPr>
          <w:p w14:paraId="682CEF35" w14:textId="77777777" w:rsidR="00220432" w:rsidRPr="00FA410D" w:rsidRDefault="00220432" w:rsidP="000C3D17">
            <w:pPr>
              <w:jc w:val="both"/>
              <w:rPr>
                <w:rFonts w:cs="Arial"/>
              </w:rPr>
            </w:pPr>
            <w:r w:rsidRPr="00FA410D">
              <w:rPr>
                <w:rFonts w:cs="Arial"/>
              </w:rPr>
              <w:t>Pyrénées-Atlantiques</w:t>
            </w:r>
          </w:p>
        </w:tc>
        <w:tc>
          <w:tcPr>
            <w:tcW w:w="2009" w:type="dxa"/>
          </w:tcPr>
          <w:p w14:paraId="1EE1B65F" w14:textId="77777777" w:rsidR="00220432" w:rsidRPr="00FA410D" w:rsidRDefault="00220432" w:rsidP="000C3D17">
            <w:pPr>
              <w:jc w:val="both"/>
              <w:rPr>
                <w:rFonts w:cs="Arial"/>
              </w:rPr>
            </w:pPr>
            <w:r w:rsidRPr="00FA410D">
              <w:rPr>
                <w:rFonts w:cs="Arial"/>
              </w:rPr>
              <w:t>5/5</w:t>
            </w:r>
          </w:p>
        </w:tc>
        <w:tc>
          <w:tcPr>
            <w:tcW w:w="1802" w:type="dxa"/>
          </w:tcPr>
          <w:p w14:paraId="541E267D" w14:textId="77777777" w:rsidR="00220432" w:rsidRPr="00FA410D" w:rsidRDefault="00220432" w:rsidP="000C3D17">
            <w:pPr>
              <w:jc w:val="both"/>
              <w:rPr>
                <w:rFonts w:cs="Arial"/>
              </w:rPr>
            </w:pPr>
            <w:proofErr w:type="spellStart"/>
            <w:r w:rsidRPr="00FA410D">
              <w:rPr>
                <w:rFonts w:cs="Arial"/>
              </w:rPr>
              <w:t>n.e</w:t>
            </w:r>
            <w:proofErr w:type="spellEnd"/>
            <w:r w:rsidRPr="00FA410D">
              <w:rPr>
                <w:rFonts w:cs="Arial"/>
              </w:rPr>
              <w:t>.</w:t>
            </w:r>
          </w:p>
        </w:tc>
        <w:tc>
          <w:tcPr>
            <w:tcW w:w="2009" w:type="dxa"/>
          </w:tcPr>
          <w:p w14:paraId="23B76A4B" w14:textId="77777777" w:rsidR="00220432" w:rsidRPr="00FA410D" w:rsidRDefault="00220432" w:rsidP="000C3D17">
            <w:pPr>
              <w:jc w:val="both"/>
              <w:rPr>
                <w:rFonts w:cs="Arial"/>
              </w:rPr>
            </w:pPr>
            <w:r w:rsidRPr="00FA410D">
              <w:rPr>
                <w:rFonts w:cs="Arial"/>
              </w:rPr>
              <w:t>0/5</w:t>
            </w:r>
          </w:p>
        </w:tc>
      </w:tr>
      <w:tr w:rsidR="00220432" w:rsidRPr="00FA410D" w14:paraId="4F5D906D" w14:textId="77777777" w:rsidTr="00220432">
        <w:tc>
          <w:tcPr>
            <w:tcW w:w="1500" w:type="dxa"/>
          </w:tcPr>
          <w:p w14:paraId="0FB29BD9" w14:textId="77777777" w:rsidR="00220432" w:rsidRPr="00FA410D" w:rsidRDefault="00220432" w:rsidP="000C3D17">
            <w:pPr>
              <w:jc w:val="both"/>
              <w:rPr>
                <w:rFonts w:cs="Arial"/>
              </w:rPr>
            </w:pPr>
          </w:p>
        </w:tc>
        <w:tc>
          <w:tcPr>
            <w:tcW w:w="1742" w:type="dxa"/>
          </w:tcPr>
          <w:p w14:paraId="52119EE9" w14:textId="77777777" w:rsidR="00220432" w:rsidRPr="00FA410D" w:rsidRDefault="00220432" w:rsidP="000C3D17">
            <w:pPr>
              <w:jc w:val="both"/>
              <w:rPr>
                <w:rFonts w:cs="Arial"/>
              </w:rPr>
            </w:pPr>
            <w:r w:rsidRPr="00FA410D">
              <w:rPr>
                <w:rFonts w:cs="Arial"/>
              </w:rPr>
              <w:t>Loire</w:t>
            </w:r>
          </w:p>
        </w:tc>
        <w:tc>
          <w:tcPr>
            <w:tcW w:w="2009" w:type="dxa"/>
          </w:tcPr>
          <w:p w14:paraId="090A2AA3" w14:textId="77777777" w:rsidR="00220432" w:rsidRPr="00FA410D" w:rsidRDefault="00220432" w:rsidP="000C3D17">
            <w:pPr>
              <w:jc w:val="both"/>
              <w:rPr>
                <w:rFonts w:cs="Arial"/>
              </w:rPr>
            </w:pPr>
            <w:proofErr w:type="spellStart"/>
            <w:r w:rsidRPr="00FA410D">
              <w:rPr>
                <w:rFonts w:cs="Arial"/>
              </w:rPr>
              <w:t>n.e</w:t>
            </w:r>
            <w:proofErr w:type="spellEnd"/>
            <w:r w:rsidRPr="00FA410D">
              <w:rPr>
                <w:rFonts w:cs="Arial"/>
              </w:rPr>
              <w:t>.</w:t>
            </w:r>
          </w:p>
        </w:tc>
        <w:tc>
          <w:tcPr>
            <w:tcW w:w="1802" w:type="dxa"/>
          </w:tcPr>
          <w:p w14:paraId="66126875" w14:textId="77777777" w:rsidR="00220432" w:rsidRPr="00FA410D" w:rsidRDefault="00220432" w:rsidP="000C3D17">
            <w:pPr>
              <w:jc w:val="both"/>
              <w:rPr>
                <w:rFonts w:cs="Arial"/>
              </w:rPr>
            </w:pPr>
            <w:proofErr w:type="spellStart"/>
            <w:r w:rsidRPr="00FA410D">
              <w:rPr>
                <w:rFonts w:cs="Arial"/>
              </w:rPr>
              <w:t>n.e</w:t>
            </w:r>
            <w:proofErr w:type="spellEnd"/>
            <w:r w:rsidRPr="00FA410D">
              <w:rPr>
                <w:rFonts w:cs="Arial"/>
              </w:rPr>
              <w:t>.</w:t>
            </w:r>
          </w:p>
        </w:tc>
        <w:tc>
          <w:tcPr>
            <w:tcW w:w="2009" w:type="dxa"/>
          </w:tcPr>
          <w:p w14:paraId="6B3E4803" w14:textId="77777777" w:rsidR="00220432" w:rsidRPr="00FA410D" w:rsidRDefault="00220432" w:rsidP="000C3D17">
            <w:pPr>
              <w:jc w:val="both"/>
              <w:rPr>
                <w:rFonts w:cs="Arial"/>
              </w:rPr>
            </w:pPr>
            <w:r w:rsidRPr="00FA410D">
              <w:rPr>
                <w:rFonts w:cs="Arial"/>
              </w:rPr>
              <w:t>1/2</w:t>
            </w:r>
          </w:p>
        </w:tc>
      </w:tr>
      <w:tr w:rsidR="00220432" w:rsidRPr="00FA410D" w14:paraId="4626D210" w14:textId="77777777" w:rsidTr="00220432">
        <w:tc>
          <w:tcPr>
            <w:tcW w:w="1500" w:type="dxa"/>
          </w:tcPr>
          <w:p w14:paraId="537A90D2" w14:textId="77777777" w:rsidR="00220432" w:rsidRPr="00FA410D" w:rsidRDefault="00220432" w:rsidP="000C3D17">
            <w:pPr>
              <w:jc w:val="both"/>
              <w:rPr>
                <w:rFonts w:cs="Arial"/>
              </w:rPr>
            </w:pPr>
          </w:p>
        </w:tc>
        <w:tc>
          <w:tcPr>
            <w:tcW w:w="1742" w:type="dxa"/>
          </w:tcPr>
          <w:p w14:paraId="20129F5C" w14:textId="77777777" w:rsidR="00220432" w:rsidRPr="00FA410D" w:rsidRDefault="00220432" w:rsidP="000C3D17">
            <w:pPr>
              <w:jc w:val="both"/>
              <w:rPr>
                <w:rFonts w:cs="Arial"/>
              </w:rPr>
            </w:pPr>
            <w:r w:rsidRPr="00FA410D">
              <w:rPr>
                <w:rFonts w:cs="Arial"/>
              </w:rPr>
              <w:t>Corrèze</w:t>
            </w:r>
          </w:p>
        </w:tc>
        <w:tc>
          <w:tcPr>
            <w:tcW w:w="2009" w:type="dxa"/>
          </w:tcPr>
          <w:p w14:paraId="05784273" w14:textId="77777777" w:rsidR="00220432" w:rsidRPr="00FA410D" w:rsidRDefault="00220432" w:rsidP="000C3D17">
            <w:pPr>
              <w:jc w:val="both"/>
              <w:rPr>
                <w:rFonts w:cs="Arial"/>
              </w:rPr>
            </w:pPr>
            <w:r w:rsidRPr="00FA410D">
              <w:rPr>
                <w:rFonts w:cs="Arial"/>
              </w:rPr>
              <w:t>3/4</w:t>
            </w:r>
          </w:p>
        </w:tc>
        <w:tc>
          <w:tcPr>
            <w:tcW w:w="1802" w:type="dxa"/>
          </w:tcPr>
          <w:p w14:paraId="7199E7D4" w14:textId="77777777" w:rsidR="00220432" w:rsidRPr="00FA410D" w:rsidRDefault="00220432" w:rsidP="000C3D17">
            <w:pPr>
              <w:jc w:val="both"/>
              <w:rPr>
                <w:rFonts w:cs="Arial"/>
              </w:rPr>
            </w:pPr>
            <w:proofErr w:type="spellStart"/>
            <w:r w:rsidRPr="00FA410D">
              <w:rPr>
                <w:rFonts w:cs="Arial"/>
              </w:rPr>
              <w:t>n.e</w:t>
            </w:r>
            <w:proofErr w:type="spellEnd"/>
            <w:r w:rsidRPr="00FA410D">
              <w:rPr>
                <w:rFonts w:cs="Arial"/>
              </w:rPr>
              <w:t>.</w:t>
            </w:r>
          </w:p>
        </w:tc>
        <w:tc>
          <w:tcPr>
            <w:tcW w:w="2009" w:type="dxa"/>
          </w:tcPr>
          <w:p w14:paraId="385F96BE" w14:textId="77777777" w:rsidR="00220432" w:rsidRPr="00FA410D" w:rsidRDefault="00220432" w:rsidP="000C3D17">
            <w:pPr>
              <w:jc w:val="both"/>
              <w:rPr>
                <w:rFonts w:cs="Arial"/>
              </w:rPr>
            </w:pPr>
            <w:r w:rsidRPr="00FA410D">
              <w:rPr>
                <w:rFonts w:cs="Arial"/>
              </w:rPr>
              <w:t>1/4</w:t>
            </w:r>
          </w:p>
        </w:tc>
      </w:tr>
      <w:tr w:rsidR="00220432" w:rsidRPr="00FA410D" w14:paraId="5F6E004C" w14:textId="77777777" w:rsidTr="00220432">
        <w:tc>
          <w:tcPr>
            <w:tcW w:w="1500" w:type="dxa"/>
          </w:tcPr>
          <w:p w14:paraId="5A557DE3" w14:textId="77777777" w:rsidR="00220432" w:rsidRPr="00FA410D" w:rsidRDefault="00220432" w:rsidP="000C3D17">
            <w:pPr>
              <w:jc w:val="both"/>
              <w:rPr>
                <w:rFonts w:cs="Arial"/>
              </w:rPr>
            </w:pPr>
          </w:p>
        </w:tc>
        <w:tc>
          <w:tcPr>
            <w:tcW w:w="1742" w:type="dxa"/>
          </w:tcPr>
          <w:p w14:paraId="1CCB51A5" w14:textId="77777777" w:rsidR="00220432" w:rsidRPr="00FA410D" w:rsidRDefault="00220432" w:rsidP="000C3D17">
            <w:pPr>
              <w:jc w:val="both"/>
              <w:rPr>
                <w:rFonts w:cs="Arial"/>
              </w:rPr>
            </w:pPr>
            <w:r w:rsidRPr="00FA410D">
              <w:rPr>
                <w:rFonts w:cs="Arial"/>
              </w:rPr>
              <w:t>Pyrénées</w:t>
            </w:r>
          </w:p>
        </w:tc>
        <w:tc>
          <w:tcPr>
            <w:tcW w:w="2009" w:type="dxa"/>
          </w:tcPr>
          <w:p w14:paraId="3F07FB29" w14:textId="77777777" w:rsidR="00220432" w:rsidRPr="00FA410D" w:rsidRDefault="00220432" w:rsidP="000C3D17">
            <w:pPr>
              <w:jc w:val="both"/>
              <w:rPr>
                <w:rFonts w:cs="Arial"/>
              </w:rPr>
            </w:pPr>
            <w:r w:rsidRPr="00FA410D">
              <w:rPr>
                <w:rFonts w:cs="Arial"/>
              </w:rPr>
              <w:t>1/1</w:t>
            </w:r>
          </w:p>
        </w:tc>
        <w:tc>
          <w:tcPr>
            <w:tcW w:w="1802" w:type="dxa"/>
          </w:tcPr>
          <w:p w14:paraId="303B3407" w14:textId="77777777" w:rsidR="00220432" w:rsidRPr="00FA410D" w:rsidRDefault="00220432" w:rsidP="000C3D17">
            <w:pPr>
              <w:jc w:val="both"/>
              <w:rPr>
                <w:rFonts w:cs="Arial"/>
              </w:rPr>
            </w:pPr>
            <w:proofErr w:type="spellStart"/>
            <w:r w:rsidRPr="00FA410D">
              <w:rPr>
                <w:rFonts w:cs="Arial"/>
              </w:rPr>
              <w:t>n.e</w:t>
            </w:r>
            <w:proofErr w:type="spellEnd"/>
            <w:r w:rsidRPr="00FA410D">
              <w:rPr>
                <w:rFonts w:cs="Arial"/>
              </w:rPr>
              <w:t>.</w:t>
            </w:r>
          </w:p>
        </w:tc>
        <w:tc>
          <w:tcPr>
            <w:tcW w:w="2009" w:type="dxa"/>
          </w:tcPr>
          <w:p w14:paraId="6A47CC1A" w14:textId="77777777" w:rsidR="00220432" w:rsidRPr="00FA410D" w:rsidRDefault="00220432" w:rsidP="000C3D17">
            <w:pPr>
              <w:jc w:val="both"/>
              <w:rPr>
                <w:rFonts w:cs="Arial"/>
              </w:rPr>
            </w:pPr>
            <w:r w:rsidRPr="00FA410D">
              <w:rPr>
                <w:rFonts w:cs="Arial"/>
              </w:rPr>
              <w:t>1/1</w:t>
            </w:r>
          </w:p>
        </w:tc>
      </w:tr>
      <w:tr w:rsidR="00220432" w:rsidRPr="00FA410D" w14:paraId="5AB08EAD" w14:textId="77777777" w:rsidTr="00220432">
        <w:tc>
          <w:tcPr>
            <w:tcW w:w="1500" w:type="dxa"/>
          </w:tcPr>
          <w:p w14:paraId="1A0E514F" w14:textId="77777777" w:rsidR="00220432" w:rsidRPr="00FA410D" w:rsidRDefault="00220432" w:rsidP="000C3D17">
            <w:pPr>
              <w:jc w:val="both"/>
              <w:rPr>
                <w:rFonts w:cs="Arial"/>
              </w:rPr>
            </w:pPr>
          </w:p>
        </w:tc>
        <w:tc>
          <w:tcPr>
            <w:tcW w:w="1742" w:type="dxa"/>
          </w:tcPr>
          <w:p w14:paraId="3251F42E" w14:textId="77777777" w:rsidR="00220432" w:rsidRPr="00FA410D" w:rsidRDefault="00220432" w:rsidP="000C3D17">
            <w:pPr>
              <w:jc w:val="both"/>
              <w:rPr>
                <w:rFonts w:cs="Arial"/>
                <w:vertAlign w:val="superscript"/>
              </w:rPr>
            </w:pPr>
            <w:r w:rsidRPr="00FA410D">
              <w:rPr>
                <w:rFonts w:cs="Arial"/>
              </w:rPr>
              <w:t>PACA</w:t>
            </w:r>
            <w:r w:rsidRPr="00FA410D">
              <w:rPr>
                <w:rFonts w:cs="Arial"/>
                <w:vertAlign w:val="superscript"/>
              </w:rPr>
              <w:t>1</w:t>
            </w:r>
          </w:p>
        </w:tc>
        <w:tc>
          <w:tcPr>
            <w:tcW w:w="2009" w:type="dxa"/>
          </w:tcPr>
          <w:p w14:paraId="0D115032" w14:textId="77777777" w:rsidR="00220432" w:rsidRPr="00FA410D" w:rsidRDefault="00220432" w:rsidP="000C3D17">
            <w:pPr>
              <w:jc w:val="both"/>
              <w:rPr>
                <w:rFonts w:cs="Arial"/>
              </w:rPr>
            </w:pPr>
            <w:r w:rsidRPr="00FA410D">
              <w:rPr>
                <w:rFonts w:cs="Arial"/>
              </w:rPr>
              <w:t>3/5</w:t>
            </w:r>
          </w:p>
        </w:tc>
        <w:tc>
          <w:tcPr>
            <w:tcW w:w="1802" w:type="dxa"/>
          </w:tcPr>
          <w:p w14:paraId="6C3E4C94" w14:textId="77777777" w:rsidR="00220432" w:rsidRPr="00FA410D" w:rsidRDefault="00220432" w:rsidP="000C3D17">
            <w:pPr>
              <w:jc w:val="both"/>
              <w:rPr>
                <w:rFonts w:cs="Arial"/>
              </w:rPr>
            </w:pPr>
            <w:proofErr w:type="spellStart"/>
            <w:r w:rsidRPr="00FA410D">
              <w:rPr>
                <w:rFonts w:cs="Arial"/>
              </w:rPr>
              <w:t>n.e</w:t>
            </w:r>
            <w:proofErr w:type="spellEnd"/>
            <w:r w:rsidRPr="00FA410D">
              <w:rPr>
                <w:rFonts w:cs="Arial"/>
              </w:rPr>
              <w:t>.</w:t>
            </w:r>
          </w:p>
        </w:tc>
        <w:tc>
          <w:tcPr>
            <w:tcW w:w="2009" w:type="dxa"/>
          </w:tcPr>
          <w:p w14:paraId="2D0CAF5F" w14:textId="77777777" w:rsidR="00220432" w:rsidRPr="00FA410D" w:rsidRDefault="00220432" w:rsidP="000C3D17">
            <w:pPr>
              <w:jc w:val="both"/>
              <w:rPr>
                <w:rFonts w:cs="Arial"/>
              </w:rPr>
            </w:pPr>
            <w:r w:rsidRPr="00FA410D">
              <w:rPr>
                <w:rFonts w:cs="Arial"/>
              </w:rPr>
              <w:t>0/5</w:t>
            </w:r>
          </w:p>
        </w:tc>
      </w:tr>
      <w:tr w:rsidR="00220432" w:rsidRPr="00FA410D" w14:paraId="1B937B0D" w14:textId="77777777" w:rsidTr="00220432">
        <w:tc>
          <w:tcPr>
            <w:tcW w:w="1500" w:type="dxa"/>
          </w:tcPr>
          <w:p w14:paraId="425E6168" w14:textId="77777777" w:rsidR="00220432" w:rsidRPr="00FA410D" w:rsidRDefault="00220432" w:rsidP="000C3D17">
            <w:pPr>
              <w:jc w:val="both"/>
              <w:rPr>
                <w:rFonts w:cs="Arial"/>
              </w:rPr>
            </w:pPr>
          </w:p>
        </w:tc>
        <w:tc>
          <w:tcPr>
            <w:tcW w:w="1742" w:type="dxa"/>
          </w:tcPr>
          <w:p w14:paraId="39CBB576" w14:textId="77777777" w:rsidR="00220432" w:rsidRPr="00F13520" w:rsidRDefault="00220432" w:rsidP="000C3D17">
            <w:pPr>
              <w:jc w:val="both"/>
              <w:rPr>
                <w:rFonts w:cs="Arial"/>
                <w:vertAlign w:val="superscript"/>
              </w:rPr>
            </w:pPr>
            <w:r>
              <w:rPr>
                <w:rFonts w:cs="Arial"/>
              </w:rPr>
              <w:t>Ain</w:t>
            </w:r>
            <w:r>
              <w:rPr>
                <w:rFonts w:cs="Arial"/>
                <w:vertAlign w:val="superscript"/>
              </w:rPr>
              <w:t>2</w:t>
            </w:r>
          </w:p>
        </w:tc>
        <w:tc>
          <w:tcPr>
            <w:tcW w:w="2009" w:type="dxa"/>
          </w:tcPr>
          <w:p w14:paraId="56FD522C" w14:textId="77777777" w:rsidR="00220432" w:rsidRPr="00FA410D" w:rsidRDefault="00220432" w:rsidP="000C3D17">
            <w:pPr>
              <w:jc w:val="both"/>
              <w:rPr>
                <w:rFonts w:cs="Arial"/>
              </w:rPr>
            </w:pPr>
          </w:p>
        </w:tc>
        <w:tc>
          <w:tcPr>
            <w:tcW w:w="1802" w:type="dxa"/>
          </w:tcPr>
          <w:p w14:paraId="4F4647D0" w14:textId="77777777" w:rsidR="00220432" w:rsidRPr="00FA410D" w:rsidRDefault="00220432" w:rsidP="000C3D17">
            <w:pPr>
              <w:jc w:val="both"/>
              <w:rPr>
                <w:rFonts w:cs="Arial"/>
              </w:rPr>
            </w:pPr>
          </w:p>
        </w:tc>
        <w:tc>
          <w:tcPr>
            <w:tcW w:w="2009" w:type="dxa"/>
          </w:tcPr>
          <w:p w14:paraId="563DCAA2" w14:textId="77777777" w:rsidR="00220432" w:rsidRPr="00FA410D" w:rsidRDefault="00220432" w:rsidP="000C3D17">
            <w:pPr>
              <w:jc w:val="both"/>
              <w:rPr>
                <w:rFonts w:cs="Arial"/>
              </w:rPr>
            </w:pPr>
            <w:r>
              <w:rPr>
                <w:rFonts w:cs="Arial"/>
              </w:rPr>
              <w:t>1/1</w:t>
            </w:r>
          </w:p>
        </w:tc>
      </w:tr>
      <w:tr w:rsidR="00220432" w:rsidRPr="00FA410D" w14:paraId="7BA7DF8E" w14:textId="77777777" w:rsidTr="00220432">
        <w:tc>
          <w:tcPr>
            <w:tcW w:w="1500" w:type="dxa"/>
          </w:tcPr>
          <w:p w14:paraId="03E45F2B" w14:textId="77777777" w:rsidR="00220432" w:rsidRPr="00FA410D" w:rsidRDefault="00220432" w:rsidP="000C3D17">
            <w:pPr>
              <w:jc w:val="both"/>
              <w:rPr>
                <w:rFonts w:cs="Arial"/>
              </w:rPr>
            </w:pPr>
          </w:p>
        </w:tc>
        <w:tc>
          <w:tcPr>
            <w:tcW w:w="1742" w:type="dxa"/>
          </w:tcPr>
          <w:p w14:paraId="6B23A5FF" w14:textId="77777777" w:rsidR="00220432" w:rsidRPr="00FA410D" w:rsidRDefault="00220432" w:rsidP="000C3D17">
            <w:pPr>
              <w:jc w:val="both"/>
              <w:rPr>
                <w:rFonts w:cs="Arial"/>
              </w:rPr>
            </w:pPr>
          </w:p>
        </w:tc>
        <w:tc>
          <w:tcPr>
            <w:tcW w:w="2009" w:type="dxa"/>
          </w:tcPr>
          <w:p w14:paraId="51A41C60" w14:textId="77777777" w:rsidR="00220432" w:rsidRPr="00FA410D" w:rsidRDefault="00220432" w:rsidP="000C3D17">
            <w:pPr>
              <w:jc w:val="both"/>
              <w:rPr>
                <w:rFonts w:cs="Arial"/>
              </w:rPr>
            </w:pPr>
          </w:p>
        </w:tc>
        <w:tc>
          <w:tcPr>
            <w:tcW w:w="1802" w:type="dxa"/>
          </w:tcPr>
          <w:p w14:paraId="1FE168B7" w14:textId="77777777" w:rsidR="00220432" w:rsidRPr="00FA410D" w:rsidRDefault="00220432" w:rsidP="000C3D17">
            <w:pPr>
              <w:jc w:val="both"/>
              <w:rPr>
                <w:rFonts w:cs="Arial"/>
              </w:rPr>
            </w:pPr>
          </w:p>
        </w:tc>
        <w:tc>
          <w:tcPr>
            <w:tcW w:w="2009" w:type="dxa"/>
          </w:tcPr>
          <w:p w14:paraId="257B0627" w14:textId="77777777" w:rsidR="00220432" w:rsidRPr="00FA410D" w:rsidRDefault="00220432" w:rsidP="000C3D17">
            <w:pPr>
              <w:jc w:val="both"/>
              <w:rPr>
                <w:rFonts w:cs="Arial"/>
              </w:rPr>
            </w:pPr>
          </w:p>
        </w:tc>
      </w:tr>
      <w:tr w:rsidR="00220432" w:rsidRPr="00FA410D" w14:paraId="2D59C19C" w14:textId="77777777" w:rsidTr="00220432">
        <w:tc>
          <w:tcPr>
            <w:tcW w:w="1500" w:type="dxa"/>
          </w:tcPr>
          <w:p w14:paraId="72383F2C" w14:textId="77777777" w:rsidR="00220432" w:rsidRPr="00FA410D" w:rsidRDefault="00220432" w:rsidP="000C3D17">
            <w:pPr>
              <w:jc w:val="both"/>
              <w:rPr>
                <w:rFonts w:cs="Arial"/>
              </w:rPr>
            </w:pPr>
            <w:r w:rsidRPr="00FA410D">
              <w:rPr>
                <w:rFonts w:cs="Arial"/>
              </w:rPr>
              <w:t>Caprins</w:t>
            </w:r>
          </w:p>
        </w:tc>
        <w:tc>
          <w:tcPr>
            <w:tcW w:w="1742" w:type="dxa"/>
          </w:tcPr>
          <w:p w14:paraId="72DC6D19" w14:textId="77777777" w:rsidR="00220432" w:rsidRPr="00FA410D" w:rsidRDefault="00220432" w:rsidP="000C3D17">
            <w:pPr>
              <w:jc w:val="both"/>
              <w:rPr>
                <w:rFonts w:cs="Arial"/>
              </w:rPr>
            </w:pPr>
            <w:r w:rsidRPr="00FA410D">
              <w:rPr>
                <w:rFonts w:cs="Arial"/>
              </w:rPr>
              <w:t>Deux-Sèvres</w:t>
            </w:r>
          </w:p>
        </w:tc>
        <w:tc>
          <w:tcPr>
            <w:tcW w:w="2009" w:type="dxa"/>
          </w:tcPr>
          <w:p w14:paraId="0D524A80" w14:textId="77777777" w:rsidR="00220432" w:rsidRPr="00FA410D" w:rsidRDefault="00220432" w:rsidP="000C3D17">
            <w:pPr>
              <w:jc w:val="both"/>
              <w:rPr>
                <w:rFonts w:cs="Arial"/>
              </w:rPr>
            </w:pPr>
            <w:r w:rsidRPr="00FA410D">
              <w:rPr>
                <w:rFonts w:cs="Arial"/>
              </w:rPr>
              <w:t>15/15</w:t>
            </w:r>
          </w:p>
        </w:tc>
        <w:tc>
          <w:tcPr>
            <w:tcW w:w="1802" w:type="dxa"/>
          </w:tcPr>
          <w:p w14:paraId="2900D210" w14:textId="77777777" w:rsidR="00220432" w:rsidRPr="00FA410D" w:rsidRDefault="00220432" w:rsidP="000C3D17">
            <w:pPr>
              <w:jc w:val="both"/>
              <w:rPr>
                <w:rFonts w:cs="Arial"/>
              </w:rPr>
            </w:pPr>
            <w:proofErr w:type="spellStart"/>
            <w:r w:rsidRPr="00FA410D">
              <w:rPr>
                <w:rFonts w:cs="Arial"/>
              </w:rPr>
              <w:t>n.e</w:t>
            </w:r>
            <w:proofErr w:type="spellEnd"/>
            <w:r w:rsidRPr="00FA410D">
              <w:rPr>
                <w:rFonts w:cs="Arial"/>
              </w:rPr>
              <w:t>.</w:t>
            </w:r>
          </w:p>
        </w:tc>
        <w:tc>
          <w:tcPr>
            <w:tcW w:w="2009" w:type="dxa"/>
          </w:tcPr>
          <w:p w14:paraId="1F87872E" w14:textId="77777777" w:rsidR="00220432" w:rsidRPr="00FA410D" w:rsidRDefault="00220432" w:rsidP="000C3D17">
            <w:pPr>
              <w:jc w:val="both"/>
              <w:rPr>
                <w:rFonts w:cs="Arial"/>
              </w:rPr>
            </w:pPr>
            <w:proofErr w:type="spellStart"/>
            <w:r w:rsidRPr="00FA410D">
              <w:rPr>
                <w:rFonts w:cs="Arial"/>
              </w:rPr>
              <w:t>n.e</w:t>
            </w:r>
            <w:proofErr w:type="spellEnd"/>
            <w:r w:rsidRPr="00FA410D">
              <w:rPr>
                <w:rFonts w:cs="Arial"/>
              </w:rPr>
              <w:t>.</w:t>
            </w:r>
          </w:p>
        </w:tc>
      </w:tr>
      <w:tr w:rsidR="00220432" w:rsidRPr="00FA410D" w14:paraId="2903B6A5" w14:textId="77777777" w:rsidTr="00220432">
        <w:tc>
          <w:tcPr>
            <w:tcW w:w="1500" w:type="dxa"/>
          </w:tcPr>
          <w:p w14:paraId="6765459A" w14:textId="77777777" w:rsidR="00220432" w:rsidRPr="00FA410D" w:rsidRDefault="00220432" w:rsidP="000C3D17">
            <w:pPr>
              <w:jc w:val="both"/>
              <w:rPr>
                <w:rFonts w:cs="Arial"/>
              </w:rPr>
            </w:pPr>
          </w:p>
        </w:tc>
        <w:tc>
          <w:tcPr>
            <w:tcW w:w="1742" w:type="dxa"/>
          </w:tcPr>
          <w:p w14:paraId="332C0D2C" w14:textId="77777777" w:rsidR="00220432" w:rsidRPr="00FA410D" w:rsidRDefault="00220432" w:rsidP="000C3D17">
            <w:pPr>
              <w:jc w:val="both"/>
              <w:rPr>
                <w:rFonts w:cs="Arial"/>
              </w:rPr>
            </w:pPr>
            <w:r w:rsidRPr="00FA410D">
              <w:rPr>
                <w:rFonts w:cs="Arial"/>
              </w:rPr>
              <w:t>Quercy</w:t>
            </w:r>
          </w:p>
        </w:tc>
        <w:tc>
          <w:tcPr>
            <w:tcW w:w="2009" w:type="dxa"/>
          </w:tcPr>
          <w:p w14:paraId="3C021DDD" w14:textId="77777777" w:rsidR="00220432" w:rsidRPr="00FA410D" w:rsidRDefault="00220432" w:rsidP="000C3D17">
            <w:pPr>
              <w:jc w:val="both"/>
              <w:rPr>
                <w:rFonts w:cs="Arial"/>
              </w:rPr>
            </w:pPr>
            <w:r w:rsidRPr="00FA410D">
              <w:rPr>
                <w:rFonts w:cs="Arial"/>
              </w:rPr>
              <w:t>15/18</w:t>
            </w:r>
          </w:p>
        </w:tc>
        <w:tc>
          <w:tcPr>
            <w:tcW w:w="1802" w:type="dxa"/>
          </w:tcPr>
          <w:p w14:paraId="384068B3" w14:textId="77777777" w:rsidR="00220432" w:rsidRPr="00FA410D" w:rsidRDefault="00220432" w:rsidP="000C3D17">
            <w:pPr>
              <w:jc w:val="both"/>
              <w:rPr>
                <w:rFonts w:cs="Arial"/>
              </w:rPr>
            </w:pPr>
            <w:r w:rsidRPr="00FA410D">
              <w:rPr>
                <w:rFonts w:cs="Arial"/>
              </w:rPr>
              <w:t>2/18</w:t>
            </w:r>
          </w:p>
        </w:tc>
        <w:tc>
          <w:tcPr>
            <w:tcW w:w="2009" w:type="dxa"/>
          </w:tcPr>
          <w:p w14:paraId="19FD6476" w14:textId="77777777" w:rsidR="00220432" w:rsidRPr="00FA410D" w:rsidRDefault="00220432" w:rsidP="000C3D17">
            <w:pPr>
              <w:jc w:val="both"/>
              <w:rPr>
                <w:rFonts w:cs="Arial"/>
              </w:rPr>
            </w:pPr>
            <w:proofErr w:type="spellStart"/>
            <w:r w:rsidRPr="00FA410D">
              <w:rPr>
                <w:rFonts w:cs="Arial"/>
              </w:rPr>
              <w:t>n.e</w:t>
            </w:r>
            <w:proofErr w:type="spellEnd"/>
            <w:r w:rsidRPr="00FA410D">
              <w:rPr>
                <w:rFonts w:cs="Arial"/>
              </w:rPr>
              <w:t>.</w:t>
            </w:r>
          </w:p>
        </w:tc>
      </w:tr>
      <w:tr w:rsidR="00220432" w:rsidRPr="00FA410D" w14:paraId="796262FE" w14:textId="77777777" w:rsidTr="00220432">
        <w:tc>
          <w:tcPr>
            <w:tcW w:w="1500" w:type="dxa"/>
          </w:tcPr>
          <w:p w14:paraId="0E829F20" w14:textId="77777777" w:rsidR="00220432" w:rsidRPr="00FA410D" w:rsidRDefault="00220432" w:rsidP="000C3D17">
            <w:pPr>
              <w:jc w:val="both"/>
              <w:rPr>
                <w:rFonts w:cs="Arial"/>
              </w:rPr>
            </w:pPr>
          </w:p>
        </w:tc>
        <w:tc>
          <w:tcPr>
            <w:tcW w:w="1742" w:type="dxa"/>
          </w:tcPr>
          <w:p w14:paraId="441F5788" w14:textId="77777777" w:rsidR="00220432" w:rsidRPr="00FA410D" w:rsidRDefault="00220432" w:rsidP="000C3D17">
            <w:pPr>
              <w:jc w:val="both"/>
              <w:rPr>
                <w:rFonts w:cs="Arial"/>
              </w:rPr>
            </w:pPr>
            <w:r w:rsidRPr="00FA410D">
              <w:rPr>
                <w:rFonts w:cs="Arial"/>
              </w:rPr>
              <w:t>Lyonnais</w:t>
            </w:r>
          </w:p>
        </w:tc>
        <w:tc>
          <w:tcPr>
            <w:tcW w:w="2009" w:type="dxa"/>
          </w:tcPr>
          <w:p w14:paraId="016DCC22" w14:textId="77777777" w:rsidR="00220432" w:rsidRPr="00FA410D" w:rsidRDefault="00220432" w:rsidP="000C3D17">
            <w:pPr>
              <w:jc w:val="both"/>
              <w:rPr>
                <w:rFonts w:cs="Arial"/>
              </w:rPr>
            </w:pPr>
            <w:r w:rsidRPr="00FA410D">
              <w:rPr>
                <w:rFonts w:cs="Arial"/>
              </w:rPr>
              <w:t>10/10</w:t>
            </w:r>
          </w:p>
        </w:tc>
        <w:tc>
          <w:tcPr>
            <w:tcW w:w="1802" w:type="dxa"/>
          </w:tcPr>
          <w:p w14:paraId="6C3CF204" w14:textId="77777777" w:rsidR="00220432" w:rsidRPr="00FA410D" w:rsidRDefault="00220432" w:rsidP="000C3D17">
            <w:pPr>
              <w:jc w:val="both"/>
              <w:rPr>
                <w:rFonts w:cs="Arial"/>
              </w:rPr>
            </w:pPr>
            <w:proofErr w:type="spellStart"/>
            <w:r w:rsidRPr="00FA410D">
              <w:rPr>
                <w:rFonts w:cs="Arial"/>
              </w:rPr>
              <w:t>n.e</w:t>
            </w:r>
            <w:proofErr w:type="spellEnd"/>
            <w:r w:rsidRPr="00FA410D">
              <w:rPr>
                <w:rFonts w:cs="Arial"/>
              </w:rPr>
              <w:t>.</w:t>
            </w:r>
          </w:p>
        </w:tc>
        <w:tc>
          <w:tcPr>
            <w:tcW w:w="2009" w:type="dxa"/>
          </w:tcPr>
          <w:p w14:paraId="791D7019" w14:textId="77777777" w:rsidR="00220432" w:rsidRPr="00FA410D" w:rsidRDefault="00220432" w:rsidP="000C3D17">
            <w:pPr>
              <w:jc w:val="both"/>
              <w:rPr>
                <w:rFonts w:cs="Arial"/>
              </w:rPr>
            </w:pPr>
            <w:proofErr w:type="spellStart"/>
            <w:r w:rsidRPr="00FA410D">
              <w:rPr>
                <w:rFonts w:cs="Arial"/>
              </w:rPr>
              <w:t>n.e</w:t>
            </w:r>
            <w:proofErr w:type="spellEnd"/>
            <w:r w:rsidRPr="00FA410D">
              <w:rPr>
                <w:rFonts w:cs="Arial"/>
              </w:rPr>
              <w:t>.</w:t>
            </w:r>
          </w:p>
        </w:tc>
      </w:tr>
      <w:tr w:rsidR="00220432" w:rsidRPr="00FA410D" w14:paraId="73843751" w14:textId="77777777" w:rsidTr="00220432">
        <w:tc>
          <w:tcPr>
            <w:tcW w:w="1500" w:type="dxa"/>
          </w:tcPr>
          <w:p w14:paraId="4E7CAA7A" w14:textId="77777777" w:rsidR="00220432" w:rsidRPr="00FA410D" w:rsidRDefault="00220432" w:rsidP="000C3D17">
            <w:pPr>
              <w:jc w:val="both"/>
              <w:rPr>
                <w:rFonts w:cs="Arial"/>
              </w:rPr>
            </w:pPr>
          </w:p>
        </w:tc>
        <w:tc>
          <w:tcPr>
            <w:tcW w:w="1742" w:type="dxa"/>
          </w:tcPr>
          <w:p w14:paraId="1FA4DC12" w14:textId="77777777" w:rsidR="00220432" w:rsidRPr="00FA410D" w:rsidRDefault="00220432" w:rsidP="000C3D17">
            <w:pPr>
              <w:jc w:val="both"/>
              <w:rPr>
                <w:rFonts w:cs="Arial"/>
              </w:rPr>
            </w:pPr>
            <w:r w:rsidRPr="00FA410D">
              <w:rPr>
                <w:rFonts w:cs="Arial"/>
              </w:rPr>
              <w:t>France</w:t>
            </w:r>
          </w:p>
        </w:tc>
        <w:tc>
          <w:tcPr>
            <w:tcW w:w="2009" w:type="dxa"/>
          </w:tcPr>
          <w:p w14:paraId="129B5889" w14:textId="77777777" w:rsidR="00220432" w:rsidRPr="00FA410D" w:rsidRDefault="00220432" w:rsidP="000C3D17">
            <w:pPr>
              <w:jc w:val="both"/>
              <w:rPr>
                <w:rFonts w:cs="Arial"/>
              </w:rPr>
            </w:pPr>
            <w:proofErr w:type="spellStart"/>
            <w:r w:rsidRPr="00FA410D">
              <w:rPr>
                <w:rFonts w:cs="Arial"/>
              </w:rPr>
              <w:t>n.e</w:t>
            </w:r>
            <w:proofErr w:type="spellEnd"/>
            <w:r w:rsidRPr="00FA410D">
              <w:rPr>
                <w:rFonts w:cs="Arial"/>
              </w:rPr>
              <w:t>.</w:t>
            </w:r>
          </w:p>
        </w:tc>
        <w:tc>
          <w:tcPr>
            <w:tcW w:w="1802" w:type="dxa"/>
          </w:tcPr>
          <w:p w14:paraId="6CA049DF" w14:textId="77777777" w:rsidR="00220432" w:rsidRPr="00FA410D" w:rsidRDefault="00220432" w:rsidP="000C3D17">
            <w:pPr>
              <w:jc w:val="both"/>
              <w:rPr>
                <w:rFonts w:cs="Arial"/>
              </w:rPr>
            </w:pPr>
            <w:proofErr w:type="spellStart"/>
            <w:r w:rsidRPr="00FA410D">
              <w:rPr>
                <w:rFonts w:cs="Arial"/>
              </w:rPr>
              <w:t>n.e</w:t>
            </w:r>
            <w:proofErr w:type="spellEnd"/>
            <w:r w:rsidRPr="00FA410D">
              <w:rPr>
                <w:rFonts w:cs="Arial"/>
              </w:rPr>
              <w:t>.</w:t>
            </w:r>
          </w:p>
        </w:tc>
        <w:tc>
          <w:tcPr>
            <w:tcW w:w="2009" w:type="dxa"/>
          </w:tcPr>
          <w:p w14:paraId="5C3EE280" w14:textId="77777777" w:rsidR="00220432" w:rsidRPr="00FA410D" w:rsidRDefault="00220432" w:rsidP="000C3D17">
            <w:pPr>
              <w:jc w:val="both"/>
              <w:rPr>
                <w:rFonts w:cs="Arial"/>
              </w:rPr>
            </w:pPr>
            <w:r w:rsidRPr="00FA410D">
              <w:rPr>
                <w:rFonts w:cs="Arial"/>
              </w:rPr>
              <w:t>0/22</w:t>
            </w:r>
          </w:p>
        </w:tc>
      </w:tr>
      <w:tr w:rsidR="00220432" w:rsidRPr="00FA410D" w14:paraId="26C7ECBB" w14:textId="77777777" w:rsidTr="00220432">
        <w:tc>
          <w:tcPr>
            <w:tcW w:w="1500" w:type="dxa"/>
          </w:tcPr>
          <w:p w14:paraId="324B1111" w14:textId="77777777" w:rsidR="00220432" w:rsidRPr="00FA410D" w:rsidRDefault="00220432" w:rsidP="000C3D17">
            <w:pPr>
              <w:jc w:val="both"/>
              <w:rPr>
                <w:rFonts w:cs="Arial"/>
              </w:rPr>
            </w:pPr>
          </w:p>
        </w:tc>
        <w:tc>
          <w:tcPr>
            <w:tcW w:w="1742" w:type="dxa"/>
          </w:tcPr>
          <w:p w14:paraId="04DA8FB9" w14:textId="77777777" w:rsidR="00220432" w:rsidRPr="00FA410D" w:rsidRDefault="00220432" w:rsidP="000C3D17">
            <w:pPr>
              <w:jc w:val="both"/>
              <w:rPr>
                <w:rFonts w:cs="Arial"/>
              </w:rPr>
            </w:pPr>
            <w:r w:rsidRPr="00FA410D">
              <w:rPr>
                <w:rFonts w:cs="Arial"/>
              </w:rPr>
              <w:t>France</w:t>
            </w:r>
          </w:p>
        </w:tc>
        <w:tc>
          <w:tcPr>
            <w:tcW w:w="2009" w:type="dxa"/>
          </w:tcPr>
          <w:p w14:paraId="4FC857D1" w14:textId="77777777" w:rsidR="00220432" w:rsidRPr="00FA410D" w:rsidRDefault="00220432" w:rsidP="000C3D17">
            <w:pPr>
              <w:jc w:val="both"/>
              <w:rPr>
                <w:rFonts w:cs="Arial"/>
              </w:rPr>
            </w:pPr>
            <w:proofErr w:type="spellStart"/>
            <w:r w:rsidRPr="00FA410D">
              <w:rPr>
                <w:rFonts w:cs="Arial"/>
              </w:rPr>
              <w:t>n.e</w:t>
            </w:r>
            <w:proofErr w:type="spellEnd"/>
            <w:r w:rsidRPr="00FA410D">
              <w:rPr>
                <w:rFonts w:cs="Arial"/>
              </w:rPr>
              <w:t>.</w:t>
            </w:r>
          </w:p>
        </w:tc>
        <w:tc>
          <w:tcPr>
            <w:tcW w:w="1802" w:type="dxa"/>
          </w:tcPr>
          <w:p w14:paraId="53DDBBD3" w14:textId="77777777" w:rsidR="00220432" w:rsidRPr="00FA410D" w:rsidRDefault="00220432" w:rsidP="000C3D17">
            <w:pPr>
              <w:jc w:val="both"/>
              <w:rPr>
                <w:rFonts w:cs="Arial"/>
              </w:rPr>
            </w:pPr>
            <w:r w:rsidRPr="00FA410D">
              <w:rPr>
                <w:rFonts w:cs="Arial"/>
              </w:rPr>
              <w:t>3/36</w:t>
            </w:r>
          </w:p>
        </w:tc>
        <w:tc>
          <w:tcPr>
            <w:tcW w:w="2009" w:type="dxa"/>
          </w:tcPr>
          <w:p w14:paraId="7C7B71C1" w14:textId="77777777" w:rsidR="00220432" w:rsidRPr="00FA410D" w:rsidRDefault="00220432" w:rsidP="000C3D17">
            <w:pPr>
              <w:jc w:val="both"/>
              <w:rPr>
                <w:rFonts w:cs="Arial"/>
              </w:rPr>
            </w:pPr>
            <w:r w:rsidRPr="00FA410D">
              <w:rPr>
                <w:rFonts w:cs="Arial"/>
              </w:rPr>
              <w:t>6/36*</w:t>
            </w:r>
          </w:p>
        </w:tc>
      </w:tr>
      <w:tr w:rsidR="00220432" w:rsidRPr="00FA410D" w14:paraId="05C95A1E" w14:textId="77777777" w:rsidTr="00220432">
        <w:tc>
          <w:tcPr>
            <w:tcW w:w="1500" w:type="dxa"/>
          </w:tcPr>
          <w:p w14:paraId="5ED17FE6" w14:textId="77777777" w:rsidR="00220432" w:rsidRPr="00FA410D" w:rsidRDefault="00220432" w:rsidP="000C3D17">
            <w:pPr>
              <w:jc w:val="both"/>
              <w:rPr>
                <w:rFonts w:cs="Arial"/>
              </w:rPr>
            </w:pPr>
          </w:p>
        </w:tc>
        <w:tc>
          <w:tcPr>
            <w:tcW w:w="1742" w:type="dxa"/>
          </w:tcPr>
          <w:p w14:paraId="26247CB6" w14:textId="77777777" w:rsidR="00220432" w:rsidRPr="00FA410D" w:rsidRDefault="00220432" w:rsidP="000C3D17">
            <w:pPr>
              <w:jc w:val="both"/>
              <w:rPr>
                <w:rFonts w:cs="Arial"/>
                <w:vertAlign w:val="superscript"/>
              </w:rPr>
            </w:pPr>
            <w:r w:rsidRPr="00FA410D">
              <w:rPr>
                <w:rFonts w:cs="Arial"/>
              </w:rPr>
              <w:t>France</w:t>
            </w:r>
            <w:r>
              <w:rPr>
                <w:rFonts w:cs="Arial"/>
                <w:vertAlign w:val="superscript"/>
              </w:rPr>
              <w:t>3</w:t>
            </w:r>
          </w:p>
        </w:tc>
        <w:tc>
          <w:tcPr>
            <w:tcW w:w="2009" w:type="dxa"/>
          </w:tcPr>
          <w:p w14:paraId="60D12A02" w14:textId="77777777" w:rsidR="00220432" w:rsidRPr="00FA410D" w:rsidRDefault="00220432" w:rsidP="000C3D17">
            <w:pPr>
              <w:jc w:val="both"/>
              <w:rPr>
                <w:rFonts w:cs="Arial"/>
              </w:rPr>
            </w:pPr>
            <w:r w:rsidRPr="00FA410D">
              <w:rPr>
                <w:rFonts w:cs="Arial"/>
              </w:rPr>
              <w:t>12/12</w:t>
            </w:r>
          </w:p>
        </w:tc>
        <w:tc>
          <w:tcPr>
            <w:tcW w:w="1802" w:type="dxa"/>
          </w:tcPr>
          <w:p w14:paraId="53456B0A" w14:textId="77777777" w:rsidR="00220432" w:rsidRPr="00FA410D" w:rsidRDefault="00220432" w:rsidP="000C3D17">
            <w:pPr>
              <w:jc w:val="both"/>
              <w:rPr>
                <w:rFonts w:cs="Arial"/>
              </w:rPr>
            </w:pPr>
            <w:proofErr w:type="spellStart"/>
            <w:r w:rsidRPr="00FA410D">
              <w:rPr>
                <w:rFonts w:cs="Arial"/>
              </w:rPr>
              <w:t>n.e</w:t>
            </w:r>
            <w:proofErr w:type="spellEnd"/>
            <w:r w:rsidRPr="00FA410D">
              <w:rPr>
                <w:rFonts w:cs="Arial"/>
              </w:rPr>
              <w:t>.</w:t>
            </w:r>
          </w:p>
        </w:tc>
        <w:tc>
          <w:tcPr>
            <w:tcW w:w="2009" w:type="dxa"/>
          </w:tcPr>
          <w:p w14:paraId="29283015" w14:textId="77777777" w:rsidR="00220432" w:rsidRPr="00FA410D" w:rsidRDefault="00220432" w:rsidP="000C3D17">
            <w:pPr>
              <w:jc w:val="both"/>
              <w:rPr>
                <w:rFonts w:cs="Arial"/>
              </w:rPr>
            </w:pPr>
            <w:r w:rsidRPr="00FA410D">
              <w:rPr>
                <w:rFonts w:cs="Arial"/>
              </w:rPr>
              <w:t>3/11</w:t>
            </w:r>
          </w:p>
        </w:tc>
      </w:tr>
      <w:tr w:rsidR="00220432" w:rsidRPr="00FA410D" w14:paraId="6A4E7F04" w14:textId="77777777" w:rsidTr="00220432">
        <w:tc>
          <w:tcPr>
            <w:tcW w:w="1500" w:type="dxa"/>
          </w:tcPr>
          <w:p w14:paraId="1892E520" w14:textId="77777777" w:rsidR="00220432" w:rsidRPr="00FA410D" w:rsidRDefault="00220432" w:rsidP="000C3D17">
            <w:pPr>
              <w:jc w:val="both"/>
              <w:rPr>
                <w:rFonts w:cs="Arial"/>
              </w:rPr>
            </w:pPr>
          </w:p>
        </w:tc>
        <w:tc>
          <w:tcPr>
            <w:tcW w:w="1742" w:type="dxa"/>
          </w:tcPr>
          <w:p w14:paraId="566CC741" w14:textId="77777777" w:rsidR="00220432" w:rsidRPr="00785C2D" w:rsidRDefault="00220432" w:rsidP="000C3D17">
            <w:pPr>
              <w:jc w:val="both"/>
              <w:rPr>
                <w:rFonts w:cs="Arial"/>
                <w:vertAlign w:val="superscript"/>
              </w:rPr>
            </w:pPr>
            <w:r>
              <w:rPr>
                <w:rFonts w:cs="Arial"/>
              </w:rPr>
              <w:t>Deux-Sèvres</w:t>
            </w:r>
            <w:r>
              <w:rPr>
                <w:rFonts w:cs="Arial"/>
                <w:vertAlign w:val="superscript"/>
              </w:rPr>
              <w:t>4</w:t>
            </w:r>
          </w:p>
        </w:tc>
        <w:tc>
          <w:tcPr>
            <w:tcW w:w="2009" w:type="dxa"/>
          </w:tcPr>
          <w:p w14:paraId="2624DF28" w14:textId="77777777" w:rsidR="00220432" w:rsidRPr="00FA410D" w:rsidRDefault="00220432" w:rsidP="000C3D17">
            <w:pPr>
              <w:jc w:val="both"/>
              <w:rPr>
                <w:rFonts w:cs="Arial"/>
              </w:rPr>
            </w:pPr>
          </w:p>
        </w:tc>
        <w:tc>
          <w:tcPr>
            <w:tcW w:w="1802" w:type="dxa"/>
          </w:tcPr>
          <w:p w14:paraId="6F91D380" w14:textId="77777777" w:rsidR="00220432" w:rsidRPr="00FA410D" w:rsidRDefault="00220432" w:rsidP="000C3D17">
            <w:pPr>
              <w:jc w:val="both"/>
              <w:rPr>
                <w:rFonts w:cs="Arial"/>
              </w:rPr>
            </w:pPr>
          </w:p>
        </w:tc>
        <w:tc>
          <w:tcPr>
            <w:tcW w:w="2009" w:type="dxa"/>
          </w:tcPr>
          <w:p w14:paraId="486BCAC3" w14:textId="77777777" w:rsidR="00220432" w:rsidRPr="00FA410D" w:rsidRDefault="00220432" w:rsidP="000C3D17">
            <w:pPr>
              <w:jc w:val="both"/>
              <w:rPr>
                <w:rFonts w:cs="Arial"/>
              </w:rPr>
            </w:pPr>
            <w:r>
              <w:rPr>
                <w:rFonts w:cs="Arial"/>
              </w:rPr>
              <w:t>2/6</w:t>
            </w:r>
          </w:p>
        </w:tc>
      </w:tr>
    </w:tbl>
    <w:p w14:paraId="7B821F7E" w14:textId="77777777" w:rsidR="00220432" w:rsidRDefault="00220432" w:rsidP="00220432">
      <w:pPr>
        <w:spacing w:after="0"/>
        <w:jc w:val="both"/>
        <w:rPr>
          <w:rFonts w:ascii="Arial" w:hAnsi="Arial" w:cs="Arial"/>
          <w:sz w:val="18"/>
          <w:szCs w:val="18"/>
        </w:rPr>
      </w:pPr>
    </w:p>
    <w:p w14:paraId="49FF3203" w14:textId="77777777" w:rsidR="00220432" w:rsidRPr="00FA410D" w:rsidRDefault="00220432" w:rsidP="00220432">
      <w:pPr>
        <w:spacing w:after="0"/>
        <w:jc w:val="both"/>
        <w:rPr>
          <w:rFonts w:cs="Arial"/>
        </w:rPr>
      </w:pPr>
      <w:proofErr w:type="spellStart"/>
      <w:r w:rsidRPr="00FA410D">
        <w:rPr>
          <w:rFonts w:cs="Arial"/>
        </w:rPr>
        <w:t>n.e</w:t>
      </w:r>
      <w:proofErr w:type="spellEnd"/>
      <w:r w:rsidRPr="00FA410D">
        <w:rPr>
          <w:rFonts w:cs="Arial"/>
        </w:rPr>
        <w:t>. : non étudié</w:t>
      </w:r>
    </w:p>
    <w:p w14:paraId="5E2E8610" w14:textId="77777777" w:rsidR="00220432" w:rsidRPr="00FA410D" w:rsidRDefault="00220432" w:rsidP="00220432">
      <w:pPr>
        <w:spacing w:after="0"/>
        <w:jc w:val="both"/>
        <w:rPr>
          <w:rFonts w:cs="Arial"/>
        </w:rPr>
      </w:pPr>
      <w:r w:rsidRPr="00FA410D">
        <w:rPr>
          <w:rFonts w:cs="Arial"/>
        </w:rPr>
        <w:t>* suspicion</w:t>
      </w:r>
    </w:p>
    <w:p w14:paraId="7B3F31A7" w14:textId="77777777" w:rsidR="00220432" w:rsidRDefault="00220432" w:rsidP="00220432">
      <w:pPr>
        <w:spacing w:after="0"/>
        <w:jc w:val="both"/>
        <w:rPr>
          <w:rFonts w:cs="Arial"/>
        </w:rPr>
      </w:pPr>
      <w:r w:rsidRPr="00FA410D">
        <w:rPr>
          <w:rFonts w:cs="Arial"/>
          <w:vertAlign w:val="superscript"/>
        </w:rPr>
        <w:t>1</w:t>
      </w:r>
      <w:r w:rsidRPr="00FA410D">
        <w:rPr>
          <w:rFonts w:cs="Arial"/>
        </w:rPr>
        <w:t>Fluck et Laporte thèse de doctorat vétérinaire, ENVT, 2018</w:t>
      </w:r>
    </w:p>
    <w:p w14:paraId="4260C735" w14:textId="77777777" w:rsidR="00220432" w:rsidRPr="00F13520" w:rsidRDefault="00220432" w:rsidP="00220432">
      <w:pPr>
        <w:spacing w:after="0"/>
        <w:jc w:val="both"/>
        <w:rPr>
          <w:rFonts w:cs="Arial"/>
        </w:rPr>
      </w:pPr>
      <w:r>
        <w:rPr>
          <w:rFonts w:cs="Arial"/>
          <w:vertAlign w:val="superscript"/>
        </w:rPr>
        <w:t>2</w:t>
      </w:r>
      <w:r>
        <w:rPr>
          <w:rFonts w:cs="Arial"/>
        </w:rPr>
        <w:t>Bordes et al., 2019</w:t>
      </w:r>
    </w:p>
    <w:p w14:paraId="15C719B1" w14:textId="77777777" w:rsidR="00220432" w:rsidRDefault="00220432" w:rsidP="00220432">
      <w:pPr>
        <w:spacing w:after="0"/>
        <w:jc w:val="both"/>
        <w:rPr>
          <w:rFonts w:cs="Arial"/>
        </w:rPr>
      </w:pPr>
      <w:r>
        <w:rPr>
          <w:rFonts w:cs="Arial"/>
          <w:vertAlign w:val="superscript"/>
        </w:rPr>
        <w:t>3</w:t>
      </w:r>
      <w:r w:rsidRPr="00FA410D">
        <w:rPr>
          <w:rFonts w:cs="Arial"/>
        </w:rPr>
        <w:t>chèvres Angora</w:t>
      </w:r>
    </w:p>
    <w:p w14:paraId="4102312A" w14:textId="23C7AB29" w:rsidR="00EC3659" w:rsidRPr="00BA5CF4" w:rsidRDefault="00220432" w:rsidP="00BA5CF4">
      <w:pPr>
        <w:spacing w:after="0"/>
        <w:jc w:val="both"/>
        <w:rPr>
          <w:rFonts w:cs="Arial"/>
        </w:rPr>
      </w:pPr>
      <w:r>
        <w:rPr>
          <w:rFonts w:cs="Arial"/>
          <w:vertAlign w:val="superscript"/>
        </w:rPr>
        <w:t>4</w:t>
      </w:r>
      <w:r>
        <w:rPr>
          <w:rFonts w:cs="Arial"/>
        </w:rPr>
        <w:t xml:space="preserve">Couasnon thèse de doctorat vétérinaire, </w:t>
      </w:r>
      <w:proofErr w:type="spellStart"/>
      <w:r>
        <w:rPr>
          <w:rFonts w:cs="Arial"/>
        </w:rPr>
        <w:t>Oniris</w:t>
      </w:r>
      <w:proofErr w:type="spellEnd"/>
      <w:r>
        <w:rPr>
          <w:rFonts w:cs="Arial"/>
        </w:rPr>
        <w:t>, 2019</w:t>
      </w:r>
    </w:p>
    <w:sectPr w:rsidR="00EC3659" w:rsidRPr="00BA5CF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DUEL Laure" w:date="2021-09-23T16:48:00Z" w:initials="BL">
    <w:p w14:paraId="750B5D77" w14:textId="5F0FA2F8" w:rsidR="006B4E43" w:rsidRDefault="006B4E43">
      <w:pPr>
        <w:pStyle w:val="Commentaire"/>
      </w:pPr>
      <w:r>
        <w:rPr>
          <w:rStyle w:val="Marquedecommentaire"/>
        </w:rPr>
        <w:annotationRef/>
      </w:r>
      <w:r w:rsidR="00BE2FDA">
        <w:t>R</w:t>
      </w:r>
      <w:r>
        <w:t>éférences règlementaires appropriées</w:t>
      </w:r>
      <w:r w:rsidR="00BE2FDA">
        <w:t xml:space="preserve"> à rajouter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0B5D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0B5D77" w16cid:durableId="2523AC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0ACE"/>
    <w:multiLevelType w:val="hybridMultilevel"/>
    <w:tmpl w:val="557C10E2"/>
    <w:lvl w:ilvl="0" w:tplc="53E4C9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867C96"/>
    <w:multiLevelType w:val="hybridMultilevel"/>
    <w:tmpl w:val="749E2B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710616"/>
    <w:multiLevelType w:val="hybridMultilevel"/>
    <w:tmpl w:val="2656F4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584BEF"/>
    <w:multiLevelType w:val="hybridMultilevel"/>
    <w:tmpl w:val="8FF8C7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94B540D"/>
    <w:multiLevelType w:val="hybridMultilevel"/>
    <w:tmpl w:val="5E6CD002"/>
    <w:lvl w:ilvl="0" w:tplc="1DF2160E">
      <w:start w:val="1"/>
      <w:numFmt w:val="decimal"/>
      <w:lvlText w:val="%1."/>
      <w:lvlJc w:val="left"/>
      <w:pPr>
        <w:tabs>
          <w:tab w:val="num" w:pos="786"/>
        </w:tabs>
        <w:ind w:left="786" w:hanging="360"/>
      </w:pPr>
      <w:rPr>
        <w:rFonts w:hint="default"/>
        <w:lang w:val="fr-FR"/>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DUEL Laure">
    <w15:presenceInfo w15:providerId="AD" w15:userId="S-1-5-21-1482476501-1993962763-1801674531-43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E1"/>
    <w:rsid w:val="0006039D"/>
    <w:rsid w:val="0006723E"/>
    <w:rsid w:val="000769F1"/>
    <w:rsid w:val="00093F1F"/>
    <w:rsid w:val="000B0A52"/>
    <w:rsid w:val="00102EB4"/>
    <w:rsid w:val="00120AB1"/>
    <w:rsid w:val="00162BEB"/>
    <w:rsid w:val="0021196C"/>
    <w:rsid w:val="00220432"/>
    <w:rsid w:val="00261300"/>
    <w:rsid w:val="002668E0"/>
    <w:rsid w:val="002F574E"/>
    <w:rsid w:val="003E57B3"/>
    <w:rsid w:val="004242AD"/>
    <w:rsid w:val="004F533D"/>
    <w:rsid w:val="005441B0"/>
    <w:rsid w:val="0056574D"/>
    <w:rsid w:val="005D123A"/>
    <w:rsid w:val="006A0B14"/>
    <w:rsid w:val="006B4E43"/>
    <w:rsid w:val="006E13BB"/>
    <w:rsid w:val="00715CAA"/>
    <w:rsid w:val="00754ED6"/>
    <w:rsid w:val="00764DE1"/>
    <w:rsid w:val="007904F9"/>
    <w:rsid w:val="00883F6C"/>
    <w:rsid w:val="0091007C"/>
    <w:rsid w:val="009761EB"/>
    <w:rsid w:val="009C5C75"/>
    <w:rsid w:val="009F7631"/>
    <w:rsid w:val="00A55B64"/>
    <w:rsid w:val="00B51C19"/>
    <w:rsid w:val="00B66403"/>
    <w:rsid w:val="00B931B3"/>
    <w:rsid w:val="00BA5CF4"/>
    <w:rsid w:val="00BD4006"/>
    <w:rsid w:val="00BE2FDA"/>
    <w:rsid w:val="00BF09C9"/>
    <w:rsid w:val="00C64DAC"/>
    <w:rsid w:val="00C85A87"/>
    <w:rsid w:val="00D1624A"/>
    <w:rsid w:val="00D86AB6"/>
    <w:rsid w:val="00DB025D"/>
    <w:rsid w:val="00E9284B"/>
    <w:rsid w:val="00EC3659"/>
    <w:rsid w:val="00F16B80"/>
    <w:rsid w:val="00F35B34"/>
    <w:rsid w:val="00FA689E"/>
    <w:rsid w:val="00FD13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3954"/>
  <w15:chartTrackingRefBased/>
  <w15:docId w15:val="{C3A829F0-B333-4AF6-A89E-618CB9C7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0AB1"/>
    <w:pPr>
      <w:spacing w:after="200" w:line="276" w:lineRule="auto"/>
      <w:ind w:left="720"/>
      <w:contextualSpacing/>
    </w:pPr>
  </w:style>
  <w:style w:type="paragraph" w:styleId="Textedebulles">
    <w:name w:val="Balloon Text"/>
    <w:basedOn w:val="Normal"/>
    <w:link w:val="TextedebullesCar"/>
    <w:uiPriority w:val="99"/>
    <w:semiHidden/>
    <w:unhideWhenUsed/>
    <w:rsid w:val="009761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61EB"/>
    <w:rPr>
      <w:rFonts w:ascii="Segoe UI" w:hAnsi="Segoe UI" w:cs="Segoe UI"/>
      <w:sz w:val="18"/>
      <w:szCs w:val="18"/>
    </w:rPr>
  </w:style>
  <w:style w:type="paragraph" w:customStyle="1" w:styleId="Default">
    <w:name w:val="Default"/>
    <w:rsid w:val="003E57B3"/>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3E57B3"/>
    <w:rPr>
      <w:color w:val="0563C1" w:themeColor="hyperlink"/>
      <w:u w:val="single"/>
    </w:rPr>
  </w:style>
  <w:style w:type="character" w:styleId="Marquedecommentaire">
    <w:name w:val="annotation reference"/>
    <w:basedOn w:val="Policepardfaut"/>
    <w:uiPriority w:val="99"/>
    <w:semiHidden/>
    <w:unhideWhenUsed/>
    <w:rsid w:val="00DB025D"/>
    <w:rPr>
      <w:sz w:val="16"/>
      <w:szCs w:val="16"/>
    </w:rPr>
  </w:style>
  <w:style w:type="paragraph" w:styleId="Commentaire">
    <w:name w:val="annotation text"/>
    <w:basedOn w:val="Normal"/>
    <w:link w:val="CommentaireCar"/>
    <w:uiPriority w:val="99"/>
    <w:semiHidden/>
    <w:unhideWhenUsed/>
    <w:rsid w:val="00DB025D"/>
    <w:pPr>
      <w:spacing w:line="240" w:lineRule="auto"/>
    </w:pPr>
    <w:rPr>
      <w:sz w:val="20"/>
      <w:szCs w:val="20"/>
    </w:rPr>
  </w:style>
  <w:style w:type="character" w:customStyle="1" w:styleId="CommentaireCar">
    <w:name w:val="Commentaire Car"/>
    <w:basedOn w:val="Policepardfaut"/>
    <w:link w:val="Commentaire"/>
    <w:uiPriority w:val="99"/>
    <w:semiHidden/>
    <w:rsid w:val="00DB025D"/>
    <w:rPr>
      <w:sz w:val="20"/>
      <w:szCs w:val="20"/>
    </w:rPr>
  </w:style>
  <w:style w:type="paragraph" w:styleId="Objetducommentaire">
    <w:name w:val="annotation subject"/>
    <w:basedOn w:val="Commentaire"/>
    <w:next w:val="Commentaire"/>
    <w:link w:val="ObjetducommentaireCar"/>
    <w:uiPriority w:val="99"/>
    <w:semiHidden/>
    <w:unhideWhenUsed/>
    <w:rsid w:val="00DB025D"/>
    <w:rPr>
      <w:b/>
      <w:bCs/>
    </w:rPr>
  </w:style>
  <w:style w:type="character" w:customStyle="1" w:styleId="ObjetducommentaireCar">
    <w:name w:val="Objet du commentaire Car"/>
    <w:basedOn w:val="CommentaireCar"/>
    <w:link w:val="Objetducommentaire"/>
    <w:uiPriority w:val="99"/>
    <w:semiHidden/>
    <w:rsid w:val="00DB025D"/>
    <w:rPr>
      <w:b/>
      <w:bCs/>
      <w:sz w:val="20"/>
      <w:szCs w:val="20"/>
    </w:rPr>
  </w:style>
  <w:style w:type="table" w:styleId="Grilledutableau">
    <w:name w:val="Table Grid"/>
    <w:basedOn w:val="TableauNormal"/>
    <w:uiPriority w:val="59"/>
    <w:rsid w:val="00220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4445">
      <w:bodyDiv w:val="1"/>
      <w:marLeft w:val="0"/>
      <w:marRight w:val="0"/>
      <w:marTop w:val="0"/>
      <w:marBottom w:val="0"/>
      <w:divBdr>
        <w:top w:val="none" w:sz="0" w:space="0" w:color="auto"/>
        <w:left w:val="none" w:sz="0" w:space="0" w:color="auto"/>
        <w:bottom w:val="none" w:sz="0" w:space="0" w:color="auto"/>
        <w:right w:val="none" w:sz="0" w:space="0" w:color="auto"/>
      </w:divBdr>
    </w:div>
    <w:div w:id="7900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www.ncbi.nlm.nih.gov/pubmed/?term=milhes+jacquiet" TargetMode="Externa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www.ncbi.nlm.nih.gov/pubmed/?term=Milhes%20M%5BAuthor%5D&amp;cauthor=true&amp;cauthor_uid=2810164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ww.ncbi.nlm.nih.gov/pubmed?term=Coles%20GC%5BAuthor%5D&amp;cauthor=true&amp;cauthor_uid=19450930" TargetMode="External"/><Relationship Id="rId5" Type="http://schemas.openxmlformats.org/officeDocument/2006/relationships/hyperlink" Target="https://www.ema.europa.eu/en/medicines/veterinary/withdrawn-applications/zolvix" TargetMode="External"/><Relationship Id="rId15" Type="http://schemas.microsoft.com/office/2011/relationships/people" Target="people.xml"/><Relationship Id="rId10" Type="http://schemas.openxmlformats.org/officeDocument/2006/relationships/hyperlink" Target="http://www.ncbi.nlm.nih.gov/pubmed?term=Greer%20AW%5BAuthor%5D&amp;cauthor=true&amp;cauthor_uid=19450930" TargetMode="External"/><Relationship Id="rId4" Type="http://schemas.openxmlformats.org/officeDocument/2006/relationships/webSettings" Target="webSettings.xml"/><Relationship Id="rId9" Type="http://schemas.openxmlformats.org/officeDocument/2006/relationships/hyperlink" Target="http://www.ncbi.nlm.nih.gov/pubmed?term=Kenyon%20F%5BAuthor%5D&amp;cauthor=true&amp;cauthor_uid=1945093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2221</Words>
  <Characters>12221</Characters>
  <Application>Microsoft Office Word</Application>
  <DocSecurity>4</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Chartier</dc:creator>
  <cp:keywords/>
  <dc:description/>
  <cp:lastModifiedBy>Marie-Claire SANTAROSALIA</cp:lastModifiedBy>
  <cp:revision>2</cp:revision>
  <cp:lastPrinted>2021-10-11T09:46:00Z</cp:lastPrinted>
  <dcterms:created xsi:type="dcterms:W3CDTF">2021-10-27T08:45:00Z</dcterms:created>
  <dcterms:modified xsi:type="dcterms:W3CDTF">2021-10-27T08:45:00Z</dcterms:modified>
</cp:coreProperties>
</file>