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03D2" w14:textId="77777777" w:rsidR="00DA4048" w:rsidRPr="00CF1BD9" w:rsidRDefault="00DA4048" w:rsidP="0049627D">
      <w:pPr>
        <w:spacing w:after="0" w:line="320" w:lineRule="atLeast"/>
        <w:rPr>
          <w:rFonts w:eastAsia="Times New Roman" w:cs="Times New Roman"/>
          <w:color w:val="000000" w:themeColor="text1"/>
          <w:sz w:val="20"/>
          <w:szCs w:val="20"/>
          <w:lang w:eastAsia="fr-FR"/>
        </w:rPr>
      </w:pPr>
      <w:r w:rsidRPr="00CF1BD9">
        <w:rPr>
          <w:rFonts w:eastAsia="Times New Roman" w:cs="Times New Roman"/>
          <w:noProof/>
          <w:color w:val="000000" w:themeColor="text1"/>
          <w:sz w:val="20"/>
          <w:szCs w:val="20"/>
          <w:lang w:eastAsia="fr-FR"/>
        </w:rPr>
        <w:drawing>
          <wp:inline distT="0" distB="0" distL="0" distR="0" wp14:anchorId="033234D7" wp14:editId="3821CE62">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3DAA3CB2" w14:textId="77777777" w:rsidR="00E16E1A" w:rsidRDefault="00E16E1A" w:rsidP="00D9533A">
      <w:pPr>
        <w:spacing w:after="0" w:line="320" w:lineRule="atLeast"/>
        <w:jc w:val="center"/>
        <w:rPr>
          <w:rFonts w:ascii="Calibri Light" w:eastAsia="Times New Roman" w:hAnsi="Calibri Light" w:cs="Times New Roman"/>
          <w:b/>
          <w:bCs/>
          <w:color w:val="000000" w:themeColor="text1"/>
          <w:szCs w:val="20"/>
          <w:u w:val="single"/>
          <w:lang w:eastAsia="fr-FR"/>
        </w:rPr>
      </w:pPr>
    </w:p>
    <w:p w14:paraId="46E7555A" w14:textId="03019926" w:rsidR="000A5706" w:rsidRPr="00E16E1A" w:rsidRDefault="00523E33" w:rsidP="00F21550">
      <w:pPr>
        <w:spacing w:after="0" w:line="320" w:lineRule="atLeast"/>
        <w:jc w:val="center"/>
        <w:rPr>
          <w:rFonts w:ascii="Calibri Light" w:eastAsia="Times New Roman" w:hAnsi="Calibri Light" w:cs="Times New Roman"/>
          <w:b/>
          <w:bCs/>
          <w:color w:val="000000" w:themeColor="text1"/>
          <w:szCs w:val="20"/>
          <w:u w:val="single"/>
          <w:lang w:eastAsia="fr-FR"/>
        </w:rPr>
      </w:pPr>
      <w:r w:rsidRPr="00E16E1A">
        <w:rPr>
          <w:rFonts w:ascii="Calibri Light" w:eastAsia="Times New Roman" w:hAnsi="Calibri Light" w:cs="Times New Roman"/>
          <w:b/>
          <w:bCs/>
          <w:color w:val="000000" w:themeColor="text1"/>
          <w:szCs w:val="20"/>
          <w:u w:val="single"/>
          <w:lang w:eastAsia="fr-FR"/>
        </w:rPr>
        <w:t xml:space="preserve">Groupe </w:t>
      </w:r>
      <w:r w:rsidR="00E42963">
        <w:rPr>
          <w:rFonts w:ascii="Calibri Light" w:eastAsia="Times New Roman" w:hAnsi="Calibri Light" w:cs="Times New Roman"/>
          <w:b/>
          <w:bCs/>
          <w:color w:val="000000" w:themeColor="text1"/>
          <w:szCs w:val="20"/>
          <w:u w:val="single"/>
          <w:lang w:eastAsia="fr-FR"/>
        </w:rPr>
        <w:t xml:space="preserve">Résistance aux </w:t>
      </w:r>
      <w:r w:rsidRPr="00E16E1A">
        <w:rPr>
          <w:rFonts w:ascii="Calibri Light" w:eastAsia="Times New Roman" w:hAnsi="Calibri Light" w:cs="Times New Roman"/>
          <w:b/>
          <w:bCs/>
          <w:color w:val="000000" w:themeColor="text1"/>
          <w:szCs w:val="20"/>
          <w:u w:val="single"/>
          <w:lang w:eastAsia="fr-FR"/>
        </w:rPr>
        <w:t>Antiparasitaires</w:t>
      </w:r>
    </w:p>
    <w:p w14:paraId="33C22B9F" w14:textId="6D2D0AE1" w:rsidR="009C3F3F" w:rsidRPr="000F402F" w:rsidRDefault="008610FD" w:rsidP="00F21550">
      <w:pPr>
        <w:spacing w:after="0" w:line="320" w:lineRule="atLeast"/>
        <w:jc w:val="center"/>
        <w:rPr>
          <w:rFonts w:ascii="Calibri Light" w:eastAsia="Times New Roman" w:hAnsi="Calibri Light" w:cs="Times New Roman"/>
          <w:b/>
          <w:bCs/>
          <w:color w:val="000000" w:themeColor="text1"/>
          <w:szCs w:val="20"/>
          <w:u w:val="single"/>
          <w:lang w:eastAsia="fr-FR"/>
        </w:rPr>
      </w:pPr>
      <w:r>
        <w:rPr>
          <w:rFonts w:ascii="Calibri Light" w:eastAsia="Times New Roman" w:hAnsi="Calibri Light" w:cs="Times New Roman"/>
          <w:b/>
          <w:bCs/>
          <w:color w:val="000000" w:themeColor="text1"/>
          <w:szCs w:val="20"/>
          <w:u w:val="single"/>
          <w:lang w:eastAsia="fr-FR"/>
        </w:rPr>
        <w:t>R</w:t>
      </w:r>
      <w:r w:rsidR="000A5706" w:rsidRPr="00E16E1A">
        <w:rPr>
          <w:rFonts w:ascii="Calibri Light" w:eastAsia="Times New Roman" w:hAnsi="Calibri Light" w:cs="Times New Roman"/>
          <w:b/>
          <w:bCs/>
          <w:color w:val="000000" w:themeColor="text1"/>
          <w:szCs w:val="20"/>
          <w:u w:val="single"/>
          <w:lang w:eastAsia="fr-FR"/>
        </w:rPr>
        <w:t xml:space="preserve">éunion du </w:t>
      </w:r>
      <w:r w:rsidR="0022225D">
        <w:rPr>
          <w:rFonts w:ascii="Calibri Light" w:eastAsia="Times New Roman" w:hAnsi="Calibri Light" w:cs="Times New Roman"/>
          <w:b/>
          <w:bCs/>
          <w:color w:val="000000" w:themeColor="text1"/>
          <w:szCs w:val="20"/>
          <w:u w:val="single"/>
          <w:lang w:eastAsia="fr-FR"/>
        </w:rPr>
        <w:t xml:space="preserve">11 octobre 2021 de </w:t>
      </w:r>
      <w:r w:rsidR="0022225D" w:rsidRPr="000F402F">
        <w:rPr>
          <w:rFonts w:ascii="Calibri Light" w:eastAsia="Times New Roman" w:hAnsi="Calibri Light" w:cs="Times New Roman"/>
          <w:b/>
          <w:bCs/>
          <w:color w:val="000000" w:themeColor="text1"/>
          <w:szCs w:val="20"/>
          <w:u w:val="single"/>
          <w:lang w:eastAsia="fr-FR"/>
        </w:rPr>
        <w:t>14h30 à 17h</w:t>
      </w:r>
    </w:p>
    <w:p w14:paraId="3B104901" w14:textId="77777777" w:rsidR="000A5706" w:rsidRPr="000F402F" w:rsidRDefault="000A5706" w:rsidP="00F21550">
      <w:pPr>
        <w:spacing w:after="0" w:line="320" w:lineRule="atLeast"/>
        <w:jc w:val="center"/>
        <w:rPr>
          <w:rFonts w:ascii="Calibri Light" w:eastAsia="Times New Roman" w:hAnsi="Calibri Light" w:cs="Times New Roman"/>
          <w:b/>
          <w:bCs/>
          <w:color w:val="000000" w:themeColor="text1"/>
          <w:szCs w:val="20"/>
          <w:lang w:eastAsia="fr-FR"/>
        </w:rPr>
      </w:pPr>
    </w:p>
    <w:p w14:paraId="7ACD87D2" w14:textId="75BB5A28" w:rsidR="009C3F3F" w:rsidRPr="008075C7" w:rsidRDefault="00F21550" w:rsidP="00F21550">
      <w:pPr>
        <w:pStyle w:val="Paragraphedeliste"/>
        <w:spacing w:after="0" w:line="320" w:lineRule="atLeast"/>
        <w:jc w:val="center"/>
        <w:rPr>
          <w:rFonts w:ascii="Calibri Light" w:eastAsia="Times New Roman" w:hAnsi="Calibri Light" w:cs="Times New Roman"/>
          <w:b/>
          <w:bCs/>
          <w:color w:val="000000" w:themeColor="text1"/>
          <w:szCs w:val="20"/>
          <w:lang w:eastAsia="fr-FR"/>
        </w:rPr>
      </w:pPr>
      <w:r w:rsidRPr="000F402F">
        <w:rPr>
          <w:rFonts w:ascii="Calibri Light" w:eastAsia="Times New Roman" w:hAnsi="Calibri Light" w:cs="Times New Roman"/>
          <w:b/>
          <w:bCs/>
          <w:color w:val="000000" w:themeColor="text1"/>
          <w:szCs w:val="20"/>
          <w:lang w:eastAsia="fr-FR"/>
        </w:rPr>
        <w:t xml:space="preserve">Réunion </w:t>
      </w:r>
      <w:r w:rsidR="00075601" w:rsidRPr="000F402F">
        <w:rPr>
          <w:rFonts w:ascii="Calibri Light" w:eastAsia="Times New Roman" w:hAnsi="Calibri Light" w:cs="Times New Roman"/>
          <w:b/>
          <w:bCs/>
          <w:color w:val="000000" w:themeColor="text1"/>
          <w:szCs w:val="20"/>
          <w:lang w:eastAsia="fr-FR"/>
        </w:rPr>
        <w:t>en visioconférence</w:t>
      </w:r>
    </w:p>
    <w:p w14:paraId="0979D5F6" w14:textId="78E34CA4" w:rsidR="00AF008A" w:rsidRDefault="00AF008A" w:rsidP="0049627D">
      <w:pPr>
        <w:spacing w:after="0" w:line="320" w:lineRule="atLeast"/>
        <w:rPr>
          <w:rFonts w:ascii="Calibri Light" w:eastAsia="Times New Roman" w:hAnsi="Calibri Light" w:cs="Times New Roman"/>
          <w:b/>
          <w:bCs/>
          <w:color w:val="000000" w:themeColor="text1"/>
          <w:sz w:val="20"/>
          <w:szCs w:val="20"/>
          <w:lang w:eastAsia="fr-FR"/>
        </w:rPr>
      </w:pPr>
    </w:p>
    <w:p w14:paraId="43003A0C" w14:textId="77777777" w:rsidR="0022225D" w:rsidRPr="00E16E1A" w:rsidRDefault="0022225D" w:rsidP="0049627D">
      <w:pPr>
        <w:spacing w:after="0" w:line="320" w:lineRule="atLeast"/>
        <w:rPr>
          <w:rFonts w:ascii="Calibri Light" w:eastAsia="Times New Roman" w:hAnsi="Calibri Light" w:cs="Times New Roman"/>
          <w:b/>
          <w:bCs/>
          <w:color w:val="000000" w:themeColor="text1"/>
          <w:sz w:val="20"/>
          <w:szCs w:val="20"/>
          <w:lang w:eastAsia="fr-FR"/>
        </w:rPr>
      </w:pPr>
    </w:p>
    <w:p w14:paraId="2211EC27" w14:textId="0A88283C" w:rsidR="00AF008A" w:rsidRPr="002765D4" w:rsidRDefault="000F402F" w:rsidP="008610FD">
      <w:pPr>
        <w:spacing w:after="0" w:line="320" w:lineRule="atLeast"/>
        <w:jc w:val="center"/>
        <w:rPr>
          <w:rFonts w:ascii="Calibri Light" w:eastAsia="Times New Roman" w:hAnsi="Calibri Light" w:cs="Times New Roman"/>
          <w:b/>
          <w:bCs/>
          <w:color w:val="000000" w:themeColor="text1"/>
          <w:sz w:val="24"/>
          <w:szCs w:val="24"/>
          <w:lang w:eastAsia="fr-FR"/>
        </w:rPr>
      </w:pPr>
      <w:r w:rsidRPr="002765D4">
        <w:rPr>
          <w:rFonts w:ascii="Calibri Light" w:eastAsia="Times New Roman" w:hAnsi="Calibri Light" w:cs="Times New Roman"/>
          <w:b/>
          <w:bCs/>
          <w:color w:val="000000" w:themeColor="text1"/>
          <w:sz w:val="24"/>
          <w:szCs w:val="24"/>
          <w:lang w:eastAsia="fr-FR"/>
        </w:rPr>
        <w:t>COMPTE-RENDU</w:t>
      </w:r>
    </w:p>
    <w:p w14:paraId="364287EF" w14:textId="77777777" w:rsidR="00D82D6B" w:rsidRDefault="00D82D6B" w:rsidP="001A23F2">
      <w:pPr>
        <w:pStyle w:val="Textebrut"/>
        <w:ind w:left="720"/>
      </w:pPr>
    </w:p>
    <w:p w14:paraId="250B5709" w14:textId="32ED0A6E" w:rsidR="00D82D6B" w:rsidRDefault="00D82D6B" w:rsidP="00D82D6B">
      <w:pPr>
        <w:pStyle w:val="Textebrut"/>
        <w:ind w:left="720"/>
      </w:pPr>
    </w:p>
    <w:p w14:paraId="40E87FB9" w14:textId="58E5EA88" w:rsidR="00A9788B" w:rsidRPr="00316D94" w:rsidRDefault="00A9788B" w:rsidP="0045146D">
      <w:pPr>
        <w:pStyle w:val="Textebrut"/>
        <w:numPr>
          <w:ilvl w:val="0"/>
          <w:numId w:val="36"/>
        </w:numPr>
        <w:ind w:left="709"/>
        <w:jc w:val="both"/>
        <w:rPr>
          <w:b/>
          <w:bCs/>
        </w:rPr>
      </w:pPr>
      <w:r w:rsidRPr="00316D94">
        <w:rPr>
          <w:b/>
          <w:bCs/>
        </w:rPr>
        <w:t xml:space="preserve">Validation du dernier </w:t>
      </w:r>
      <w:hyperlink r:id="rId6" w:history="1">
        <w:r w:rsidRPr="00316D94">
          <w:rPr>
            <w:rStyle w:val="Lienhypertexte"/>
            <w:b/>
            <w:bCs/>
          </w:rPr>
          <w:t>compte-rendu du 25 juin 2021</w:t>
        </w:r>
      </w:hyperlink>
      <w:r w:rsidRPr="00316D94">
        <w:rPr>
          <w:b/>
          <w:bCs/>
        </w:rPr>
        <w:t xml:space="preserve"> </w:t>
      </w:r>
    </w:p>
    <w:p w14:paraId="18FB60DB" w14:textId="37E6DC32" w:rsidR="00936D95" w:rsidRDefault="00936D95" w:rsidP="00936D95">
      <w:pPr>
        <w:pStyle w:val="Textebrut"/>
        <w:jc w:val="both"/>
      </w:pPr>
      <w:r>
        <w:t>J</w:t>
      </w:r>
      <w:r w:rsidR="00CF2865">
        <w:t>.</w:t>
      </w:r>
      <w:r>
        <w:t xml:space="preserve"> Devos a quitté le groupe et est remplacé par Benoit Forestier.</w:t>
      </w:r>
    </w:p>
    <w:p w14:paraId="6861FC8D" w14:textId="345BCBEE" w:rsidR="008420F5" w:rsidRDefault="00936D95" w:rsidP="00936D95">
      <w:pPr>
        <w:pStyle w:val="Textebrut"/>
        <w:jc w:val="both"/>
      </w:pPr>
      <w:r>
        <w:t xml:space="preserve">Rappel des objectifs du groupe : plateforme d’échange entre public, privé et académiques sur la résistance </w:t>
      </w:r>
      <w:r w:rsidR="00CF2865">
        <w:t xml:space="preserve">aux </w:t>
      </w:r>
      <w:r>
        <w:t>anthelmint</w:t>
      </w:r>
      <w:r w:rsidR="00CF2865">
        <w:t>h</w:t>
      </w:r>
      <w:r>
        <w:t>ique</w:t>
      </w:r>
      <w:r w:rsidR="00CF2865">
        <w:t>s</w:t>
      </w:r>
      <w:r>
        <w:t xml:space="preserve"> (périmètre actuel). Identification des actions à mener.</w:t>
      </w:r>
    </w:p>
    <w:p w14:paraId="554E6C49" w14:textId="77777777" w:rsidR="008420F5" w:rsidRDefault="008420F5" w:rsidP="0045146D">
      <w:pPr>
        <w:pStyle w:val="Textebrut"/>
        <w:jc w:val="both"/>
      </w:pPr>
    </w:p>
    <w:p w14:paraId="3278A410" w14:textId="77777777" w:rsidR="00A9788B" w:rsidRPr="00316D94" w:rsidRDefault="00A9788B" w:rsidP="0045146D">
      <w:pPr>
        <w:pStyle w:val="Textebrut"/>
        <w:numPr>
          <w:ilvl w:val="0"/>
          <w:numId w:val="36"/>
        </w:numPr>
        <w:ind w:left="709"/>
        <w:jc w:val="both"/>
        <w:rPr>
          <w:b/>
          <w:bCs/>
        </w:rPr>
      </w:pPr>
      <w:r w:rsidRPr="00316D94">
        <w:rPr>
          <w:b/>
          <w:bCs/>
        </w:rPr>
        <w:t>Suivi des actions en cours</w:t>
      </w:r>
    </w:p>
    <w:p w14:paraId="593ADB11" w14:textId="3990BB71" w:rsidR="00A9788B" w:rsidRDefault="00A9788B" w:rsidP="0045146D">
      <w:pPr>
        <w:pStyle w:val="Textebrut"/>
        <w:numPr>
          <w:ilvl w:val="1"/>
          <w:numId w:val="36"/>
        </w:numPr>
        <w:jc w:val="both"/>
      </w:pPr>
      <w:r>
        <w:t>Point sur la formation « anthelminthiques : usage, résistance » pour les vétérinaires sanitaires (SNGTV)</w:t>
      </w:r>
    </w:p>
    <w:p w14:paraId="0073B9D8" w14:textId="68165136" w:rsidR="001D4333" w:rsidRDefault="00936D95" w:rsidP="001D4333">
      <w:pPr>
        <w:pStyle w:val="Textebrut"/>
        <w:jc w:val="both"/>
      </w:pPr>
      <w:r>
        <w:t>Ce dossier a été déposé à la DGAL</w:t>
      </w:r>
      <w:r w:rsidR="00CF2865">
        <w:t>. D</w:t>
      </w:r>
      <w:r>
        <w:t xml:space="preserve">es </w:t>
      </w:r>
      <w:r w:rsidR="001D4333">
        <w:t>changements sont intervenus à la DGAl concernant la personne impliquée dans ce dossier (Pierre Velge). Les contacts vont être repris avec Stéphanie Philizot (SNGTV) pour faire le point de ce dossier.</w:t>
      </w:r>
    </w:p>
    <w:p w14:paraId="47F33C6C" w14:textId="77777777" w:rsidR="0045146D" w:rsidRDefault="0045146D" w:rsidP="0045146D">
      <w:pPr>
        <w:pStyle w:val="Textebrut"/>
        <w:jc w:val="both"/>
      </w:pPr>
    </w:p>
    <w:p w14:paraId="41F31289" w14:textId="5961CBEE" w:rsidR="00A9788B" w:rsidRDefault="00A9788B" w:rsidP="0045146D">
      <w:pPr>
        <w:pStyle w:val="Textebrut"/>
        <w:numPr>
          <w:ilvl w:val="1"/>
          <w:numId w:val="36"/>
        </w:numPr>
        <w:jc w:val="both"/>
      </w:pPr>
      <w:r>
        <w:t>Point gap</w:t>
      </w:r>
      <w:r w:rsidR="00FD2477">
        <w:t>s</w:t>
      </w:r>
      <w:r>
        <w:t xml:space="preserve"> thérapeutique</w:t>
      </w:r>
      <w:r w:rsidR="00FD2477">
        <w:t>s</w:t>
      </w:r>
      <w:r>
        <w:t> avec ANMV : note sur le monépantel (Oniris, ENVT, Anses)</w:t>
      </w:r>
    </w:p>
    <w:p w14:paraId="17D95B5B" w14:textId="6968EBE9" w:rsidR="0045146D" w:rsidRDefault="001D4333" w:rsidP="0045146D">
      <w:pPr>
        <w:pStyle w:val="Textebrut"/>
        <w:jc w:val="both"/>
      </w:pPr>
      <w:r>
        <w:t xml:space="preserve">Un projet de note à destination d’Elanco </w:t>
      </w:r>
      <w:r w:rsidR="00325AAD">
        <w:t xml:space="preserve">(titulaire de l’AMM du monépantel) </w:t>
      </w:r>
      <w:r>
        <w:t>a été rédigé par certains membres du GT (Carine Paraud, Philippe Jacquiet, Christophe Chartier) et par Laure Baduel (ANMV)</w:t>
      </w:r>
      <w:r w:rsidR="00325AAD">
        <w:t xml:space="preserve"> pour demander des informations sur les résidus dans le lait</w:t>
      </w:r>
      <w:r>
        <w:t xml:space="preserve">. Ce document va circuler au sein du GT pour compléments/modifications avant d’être finalisé avec l’ANMV. </w:t>
      </w:r>
      <w:r w:rsidR="00CF2865">
        <w:t>L</w:t>
      </w:r>
      <w:r w:rsidR="00D76B3F">
        <w:t>a démarche sera</w:t>
      </w:r>
      <w:r>
        <w:t xml:space="preserve"> présenté</w:t>
      </w:r>
      <w:r w:rsidR="00D76B3F">
        <w:t>e</w:t>
      </w:r>
      <w:r>
        <w:t xml:space="preserve"> au COPIL</w:t>
      </w:r>
      <w:r w:rsidR="00D76B3F">
        <w:t xml:space="preserve"> du RFSA</w:t>
      </w:r>
      <w:r>
        <w:t xml:space="preserve"> du 27/10. </w:t>
      </w:r>
    </w:p>
    <w:p w14:paraId="4990DD55" w14:textId="1EB2E27A" w:rsidR="007E24DE" w:rsidRDefault="007E24DE" w:rsidP="0045146D">
      <w:pPr>
        <w:pStyle w:val="Textebrut"/>
        <w:jc w:val="both"/>
      </w:pPr>
      <w:r>
        <w:t>Concernant d’autres anthelminthiques potentiels (</w:t>
      </w:r>
      <w:r w:rsidRPr="007E24DE">
        <w:t xml:space="preserve">Tableau 1 : substances autorisées - </w:t>
      </w:r>
      <w:r w:rsidR="00D76B3F" w:rsidRPr="007E24DE">
        <w:t>règlement</w:t>
      </w:r>
      <w:r w:rsidRPr="007E24DE">
        <w:t xml:space="preserve"> (UE) 37/2010 - mise à jour le 4 mai 2021</w:t>
      </w:r>
      <w:r>
        <w:t>) :</w:t>
      </w:r>
    </w:p>
    <w:p w14:paraId="384451B3" w14:textId="5FC8BE63" w:rsidR="007E24DE" w:rsidRDefault="007E24DE" w:rsidP="0045146D">
      <w:pPr>
        <w:pStyle w:val="Textebrut"/>
        <w:jc w:val="both"/>
      </w:pPr>
      <w:r>
        <w:t>- il n’existe pas de LMR lait pour le derquantel</w:t>
      </w:r>
    </w:p>
    <w:p w14:paraId="66306972" w14:textId="77777777" w:rsidR="007E24DE" w:rsidRDefault="007E24DE" w:rsidP="0045146D">
      <w:pPr>
        <w:pStyle w:val="Textebrut"/>
        <w:jc w:val="both"/>
      </w:pPr>
      <w:r>
        <w:t>- le pyrantel n’est présent qu’au travers de l’embonate de pyrantel (équins) avec la mention pas de LMR requise</w:t>
      </w:r>
    </w:p>
    <w:p w14:paraId="333CC2B1" w14:textId="6408C4BC" w:rsidR="007E24DE" w:rsidRDefault="007E24DE" w:rsidP="0045146D">
      <w:pPr>
        <w:pStyle w:val="Textebrut"/>
        <w:jc w:val="both"/>
      </w:pPr>
      <w:r>
        <w:t xml:space="preserve">- le morantel a une LMR lait pour les ruminants (mais pas de spécialités vétérinaires pour ruminants) </w:t>
      </w:r>
    </w:p>
    <w:p w14:paraId="3FEE427A" w14:textId="114C1A72" w:rsidR="001D4333" w:rsidRDefault="001D4333" w:rsidP="0045146D">
      <w:pPr>
        <w:pStyle w:val="Textebrut"/>
        <w:jc w:val="both"/>
      </w:pPr>
    </w:p>
    <w:p w14:paraId="251AF92C" w14:textId="77777777" w:rsidR="00A9788B" w:rsidRPr="00316D94" w:rsidRDefault="00A9788B" w:rsidP="0045146D">
      <w:pPr>
        <w:pStyle w:val="Textebrut"/>
        <w:numPr>
          <w:ilvl w:val="0"/>
          <w:numId w:val="36"/>
        </w:numPr>
        <w:jc w:val="both"/>
        <w:rPr>
          <w:b/>
          <w:bCs/>
        </w:rPr>
      </w:pPr>
      <w:r w:rsidRPr="00316D94">
        <w:rPr>
          <w:b/>
          <w:bCs/>
        </w:rPr>
        <w:t xml:space="preserve">Suivis des projets en cours </w:t>
      </w:r>
    </w:p>
    <w:p w14:paraId="16D5D9F0" w14:textId="2F9F41C9" w:rsidR="00A9788B" w:rsidRPr="007E24DE" w:rsidRDefault="00A9788B" w:rsidP="0045146D">
      <w:pPr>
        <w:pStyle w:val="Textebrut"/>
        <w:numPr>
          <w:ilvl w:val="1"/>
          <w:numId w:val="36"/>
        </w:numPr>
        <w:jc w:val="both"/>
        <w:rPr>
          <w:rStyle w:val="Lienhypertexte"/>
          <w:color w:val="auto"/>
          <w:u w:val="none"/>
        </w:rPr>
      </w:pPr>
      <w:r>
        <w:t xml:space="preserve">Financement </w:t>
      </w:r>
      <w:hyperlink r:id="rId7" w:history="1">
        <w:r w:rsidRPr="00FD2477">
          <w:rPr>
            <w:rStyle w:val="Lienhypertexte"/>
          </w:rPr>
          <w:t>DIAGRAM</w:t>
        </w:r>
      </w:hyperlink>
    </w:p>
    <w:p w14:paraId="0BAB829B" w14:textId="5926D077" w:rsidR="007E24DE" w:rsidRDefault="007E24DE" w:rsidP="007E24DE">
      <w:pPr>
        <w:pStyle w:val="Textebrut"/>
        <w:jc w:val="both"/>
      </w:pPr>
      <w:r w:rsidRPr="007E24DE">
        <w:t>Cédric Neveu</w:t>
      </w:r>
      <w:r>
        <w:t xml:space="preserve"> rappelle les objectifs et les nombreux champs d’application du projet DIAGRAM</w:t>
      </w:r>
      <w:r w:rsidR="002858AC">
        <w:t xml:space="preserve">. Un de ses objectifs est d’intéresser un ou plusieurs industriels pour développer des tests de résistance aux anthelminthiques. Le SIMV représente </w:t>
      </w:r>
      <w:r w:rsidR="00325AAD">
        <w:t>les laboratoires pharmaceutiques vétérinaires et les fabricants de kit de diagnostic et ce projet leur sera proposé pour avis</w:t>
      </w:r>
      <w:r w:rsidR="00CF2865">
        <w:t xml:space="preserve">, il peut </w:t>
      </w:r>
      <w:r w:rsidR="00325AAD">
        <w:t>aussi faire l’objet d’une communication aux Journées de recherche en santé animale</w:t>
      </w:r>
      <w:r w:rsidR="00E522C4">
        <w:t>. U</w:t>
      </w:r>
      <w:r w:rsidR="002858AC">
        <w:t>ne rencontre SIMV/INRAE pou</w:t>
      </w:r>
      <w:r w:rsidR="00E522C4">
        <w:t>r</w:t>
      </w:r>
      <w:r w:rsidR="002858AC">
        <w:t>rait être programmée</w:t>
      </w:r>
      <w:r w:rsidR="00E522C4">
        <w:t>. A noter qu’un partenaire du projet (INVENesis) possède la technnologie ALMA (sous licence) impliquée dans le projet DIAGRAM.</w:t>
      </w:r>
      <w:r w:rsidR="002858AC">
        <w:t xml:space="preserve"> </w:t>
      </w:r>
    </w:p>
    <w:p w14:paraId="284A9063" w14:textId="77777777" w:rsidR="0045146D" w:rsidRDefault="0045146D" w:rsidP="006263CA">
      <w:pPr>
        <w:pStyle w:val="Textebrut"/>
        <w:jc w:val="both"/>
      </w:pPr>
    </w:p>
    <w:p w14:paraId="6025D110" w14:textId="77777777" w:rsidR="00E522C4" w:rsidRDefault="00A9788B" w:rsidP="00E522C4">
      <w:pPr>
        <w:pStyle w:val="Textebrut"/>
        <w:numPr>
          <w:ilvl w:val="1"/>
          <w:numId w:val="36"/>
        </w:numPr>
        <w:jc w:val="both"/>
      </w:pPr>
      <w:r>
        <w:t>Premiers résultats de l’enquête résistance Auvergne (Oniris)</w:t>
      </w:r>
    </w:p>
    <w:p w14:paraId="345E52B1" w14:textId="7166E233" w:rsidR="00E522C4" w:rsidRDefault="00E522C4" w:rsidP="00E522C4">
      <w:pPr>
        <w:pStyle w:val="Textebrut"/>
        <w:jc w:val="both"/>
      </w:pPr>
      <w:r>
        <w:t>Ce point n’a pas été abordée faute de temps. Il pourra l’être ultérieurement par Nadine Ravinet.</w:t>
      </w:r>
    </w:p>
    <w:p w14:paraId="29FEEDD6" w14:textId="005751C4" w:rsidR="0045146D" w:rsidRDefault="0045146D" w:rsidP="006263CA">
      <w:pPr>
        <w:pStyle w:val="Textebrut"/>
        <w:jc w:val="both"/>
      </w:pPr>
    </w:p>
    <w:p w14:paraId="30E87C02" w14:textId="61EA2E38" w:rsidR="0096620B" w:rsidRDefault="0096620B" w:rsidP="006263CA">
      <w:pPr>
        <w:pStyle w:val="Textebrut"/>
        <w:jc w:val="both"/>
      </w:pPr>
    </w:p>
    <w:p w14:paraId="6FFC0C3B" w14:textId="77777777" w:rsidR="0096620B" w:rsidRDefault="0096620B" w:rsidP="006263CA">
      <w:pPr>
        <w:pStyle w:val="Textebrut"/>
        <w:jc w:val="both"/>
      </w:pPr>
    </w:p>
    <w:p w14:paraId="6E4E6A58" w14:textId="4698C9DE" w:rsidR="00A9788B" w:rsidRDefault="00A9788B" w:rsidP="0045146D">
      <w:pPr>
        <w:pStyle w:val="Textebrut"/>
        <w:numPr>
          <w:ilvl w:val="1"/>
          <w:numId w:val="36"/>
        </w:numPr>
        <w:jc w:val="both"/>
      </w:pPr>
      <w:r>
        <w:t>Autres projets</w:t>
      </w:r>
    </w:p>
    <w:p w14:paraId="6E851A92" w14:textId="13143211" w:rsidR="00E522C4" w:rsidRDefault="00E522C4" w:rsidP="00E522C4">
      <w:pPr>
        <w:pStyle w:val="Textebrut"/>
        <w:jc w:val="both"/>
      </w:pPr>
      <w:r>
        <w:t>Le projet PARASCOPE associant GTV 79, Qualyse</w:t>
      </w:r>
      <w:r w:rsidR="00CF2865">
        <w:t xml:space="preserve"> (LVD)</w:t>
      </w:r>
      <w:r>
        <w:t xml:space="preserve">, coopérative et syndicat ovins lait, est présentée par Carine Paraud. Ce projet </w:t>
      </w:r>
      <w:r w:rsidR="00A3201E">
        <w:t xml:space="preserve">sur 2 ans </w:t>
      </w:r>
      <w:r>
        <w:t xml:space="preserve">s’intéresse aux pratiques de traitements anthelminthiques, </w:t>
      </w:r>
      <w:r w:rsidR="00A3201E">
        <w:t>aux résultats de FECRT pour des molécules choisies par les éleveurs, aux volumes d’AH vendus par les vétos et les 3 structures ayant un PSE et enfin à une étude sur l’impact environnemental des lactones.</w:t>
      </w:r>
    </w:p>
    <w:p w14:paraId="0E2FB9C1" w14:textId="61AED0AB" w:rsidR="00A3201E" w:rsidRDefault="00A3201E" w:rsidP="00E522C4">
      <w:pPr>
        <w:pStyle w:val="Textebrut"/>
        <w:jc w:val="both"/>
      </w:pPr>
      <w:r>
        <w:t>Un projet d’accompagnement des éleveurs</w:t>
      </w:r>
      <w:r w:rsidR="00A579D9">
        <w:t xml:space="preserve"> ovins </w:t>
      </w:r>
      <w:r>
        <w:t>ayant de la résistance aux AH sur 3 ans cherche toujours un financement (Carine Paraud, Benoit Forestier).</w:t>
      </w:r>
    </w:p>
    <w:p w14:paraId="426B51DA" w14:textId="77777777" w:rsidR="0045146D" w:rsidRDefault="0045146D" w:rsidP="006263CA"/>
    <w:p w14:paraId="5152B2D8" w14:textId="77777777" w:rsidR="00A9788B" w:rsidRPr="00316D94" w:rsidRDefault="00A9788B" w:rsidP="0045146D">
      <w:pPr>
        <w:pStyle w:val="Textebrut"/>
        <w:numPr>
          <w:ilvl w:val="0"/>
          <w:numId w:val="36"/>
        </w:numPr>
        <w:jc w:val="both"/>
        <w:rPr>
          <w:b/>
          <w:bCs/>
        </w:rPr>
      </w:pPr>
      <w:r w:rsidRPr="00316D94">
        <w:rPr>
          <w:b/>
          <w:bCs/>
        </w:rPr>
        <w:t>« Harmonisation », « normalisation » des techniques coproscopiques et du FECRT</w:t>
      </w:r>
    </w:p>
    <w:p w14:paraId="6CA3F27D" w14:textId="7E52572A" w:rsidR="00A9788B" w:rsidRDefault="00A9788B" w:rsidP="0045146D">
      <w:pPr>
        <w:pStyle w:val="Textebrut"/>
        <w:numPr>
          <w:ilvl w:val="1"/>
          <w:numId w:val="36"/>
        </w:numPr>
        <w:jc w:val="both"/>
      </w:pPr>
      <w:r>
        <w:t xml:space="preserve">Projet SIMV sur l’harmonisation </w:t>
      </w:r>
      <w:r w:rsidR="00325AAD">
        <w:t>des techniques</w:t>
      </w:r>
      <w:r>
        <w:t xml:space="preserve"> dans la détection de la résistance aux AH (SIMV)</w:t>
      </w:r>
    </w:p>
    <w:p w14:paraId="0C79340A" w14:textId="77777777" w:rsidR="0045146D" w:rsidRDefault="0045146D" w:rsidP="006263CA">
      <w:pPr>
        <w:pStyle w:val="Textebrut"/>
        <w:jc w:val="both"/>
      </w:pPr>
    </w:p>
    <w:p w14:paraId="689AA66F" w14:textId="20CE202D" w:rsidR="00A9788B" w:rsidRDefault="00A9788B" w:rsidP="0045146D">
      <w:pPr>
        <w:pStyle w:val="Textebrut"/>
        <w:numPr>
          <w:ilvl w:val="1"/>
          <w:numId w:val="36"/>
        </w:numPr>
        <w:jc w:val="both"/>
      </w:pPr>
      <w:r>
        <w:t>Retour sur les travaux du GT AFNOR</w:t>
      </w:r>
    </w:p>
    <w:p w14:paraId="27E06AA1" w14:textId="3E1E9FB3" w:rsidR="0045146D" w:rsidRDefault="0048149C" w:rsidP="006263CA">
      <w:r>
        <w:t>Ces deux points sont en fait fusionnés avec la participation du SIMV dans le GT AFNOR</w:t>
      </w:r>
      <w:r w:rsidR="00325AAD">
        <w:t>.</w:t>
      </w:r>
      <w:r w:rsidR="00750CA5">
        <w:t xml:space="preserve"> </w:t>
      </w:r>
      <w:r>
        <w:t>Le GT AFNOR a concentré son travail sur la coproscopie quantitative et le FECRT avec l’intention de normaliser les protocoles. Le GT est dans une phase de recensement des pratiques dans les différents laboratoires (une quinzaine de protocoles recueillis à ce stade) et l’identification de points critiques. La prochaine réunion de ce GT est le 15/11.</w:t>
      </w:r>
    </w:p>
    <w:p w14:paraId="1EB52F33" w14:textId="77777777" w:rsidR="0045146D" w:rsidRDefault="0045146D" w:rsidP="0045146D">
      <w:pPr>
        <w:pStyle w:val="Textebrut"/>
        <w:jc w:val="both"/>
      </w:pPr>
    </w:p>
    <w:p w14:paraId="0FEFE870" w14:textId="0AB96AD0" w:rsidR="00A9788B" w:rsidRDefault="00A9788B" w:rsidP="0045146D">
      <w:pPr>
        <w:pStyle w:val="Textebrut"/>
        <w:numPr>
          <w:ilvl w:val="0"/>
          <w:numId w:val="36"/>
        </w:numPr>
        <w:jc w:val="both"/>
        <w:rPr>
          <w:b/>
          <w:bCs/>
        </w:rPr>
      </w:pPr>
      <w:r w:rsidRPr="00316D94">
        <w:rPr>
          <w:b/>
          <w:bCs/>
        </w:rPr>
        <w:t>Poursuite de la réflexion autour d’un projet multipartenaire sur la résistance aux AH : quels objectifs ? quelles échéances ? quels financements ? quel(s) pilote(s) ?</w:t>
      </w:r>
    </w:p>
    <w:p w14:paraId="06437400" w14:textId="3E69C560" w:rsidR="00A3201E" w:rsidRPr="00A3201E" w:rsidRDefault="00A3201E" w:rsidP="00A3201E">
      <w:pPr>
        <w:pStyle w:val="Textebrut"/>
        <w:jc w:val="both"/>
        <w:rPr>
          <w:bCs/>
        </w:rPr>
      </w:pPr>
      <w:r>
        <w:rPr>
          <w:bCs/>
        </w:rPr>
        <w:t>Gilles Bourgoin évoque la mosaïque d’activités des différents membres du GT et les nombreux échanges. Il évoque l’opportunité de fédérer un gros projet sur la résistance aux anthelminthiques, avec différentes approches et à large échelle. Ce dimensionnement a l’</w:t>
      </w:r>
      <w:r w:rsidR="0048149C">
        <w:rPr>
          <w:bCs/>
        </w:rPr>
        <w:t>assentiment des participants et l’on doit se tenir prêts sur les prochains appels d’offre nationaux ou européens.</w:t>
      </w:r>
      <w:r>
        <w:rPr>
          <w:bCs/>
        </w:rPr>
        <w:t xml:space="preserve"> </w:t>
      </w:r>
    </w:p>
    <w:p w14:paraId="07673C36" w14:textId="77777777" w:rsidR="0045146D" w:rsidRDefault="0045146D" w:rsidP="006263CA">
      <w:pPr>
        <w:pStyle w:val="Textebrut"/>
        <w:jc w:val="both"/>
      </w:pPr>
    </w:p>
    <w:p w14:paraId="01B4CAB0" w14:textId="50A06A30" w:rsidR="00A9788B" w:rsidRDefault="00A9788B" w:rsidP="0045146D">
      <w:pPr>
        <w:pStyle w:val="Textebrut"/>
        <w:numPr>
          <w:ilvl w:val="0"/>
          <w:numId w:val="36"/>
        </w:numPr>
        <w:jc w:val="both"/>
        <w:rPr>
          <w:b/>
          <w:bCs/>
        </w:rPr>
      </w:pPr>
      <w:r w:rsidRPr="00316D94">
        <w:rPr>
          <w:b/>
          <w:bCs/>
        </w:rPr>
        <w:t>Points divers </w:t>
      </w:r>
    </w:p>
    <w:p w14:paraId="35168602" w14:textId="77777777" w:rsidR="00236463" w:rsidRPr="00316D94" w:rsidRDefault="00236463" w:rsidP="00236463">
      <w:pPr>
        <w:pStyle w:val="Textebrut"/>
        <w:ind w:left="1077"/>
        <w:jc w:val="both"/>
        <w:rPr>
          <w:b/>
          <w:bCs/>
        </w:rPr>
      </w:pPr>
    </w:p>
    <w:p w14:paraId="58A9BFDC" w14:textId="307135C5" w:rsidR="00523E33" w:rsidRPr="00750CA5" w:rsidRDefault="00236463" w:rsidP="00750CA5">
      <w:pPr>
        <w:pStyle w:val="Textebrut"/>
        <w:jc w:val="both"/>
        <w:rPr>
          <w:bCs/>
        </w:rPr>
      </w:pPr>
      <w:r w:rsidRPr="00750CA5">
        <w:rPr>
          <w:bCs/>
        </w:rPr>
        <w:t>Présentation communication RFSA pharmacovigilance et résistance aux JN GTV à Tours le 22 octobre : venez nombreux.</w:t>
      </w:r>
    </w:p>
    <w:p w14:paraId="04439230" w14:textId="77777777" w:rsidR="00236463" w:rsidRDefault="00236463" w:rsidP="00750CA5">
      <w:pPr>
        <w:pStyle w:val="Textebrut"/>
        <w:jc w:val="both"/>
        <w:rPr>
          <w:bCs/>
        </w:rPr>
      </w:pPr>
    </w:p>
    <w:p w14:paraId="28EE5549" w14:textId="18DBD103" w:rsidR="00300FCD" w:rsidRPr="0048149C" w:rsidRDefault="0048149C" w:rsidP="00750CA5">
      <w:pPr>
        <w:pStyle w:val="Textebrut"/>
        <w:jc w:val="both"/>
        <w:rPr>
          <w:bCs/>
        </w:rPr>
      </w:pPr>
      <w:r w:rsidRPr="0048149C">
        <w:rPr>
          <w:bCs/>
        </w:rPr>
        <w:t>La prochaine réunion du GT</w:t>
      </w:r>
      <w:r>
        <w:rPr>
          <w:bCs/>
        </w:rPr>
        <w:t xml:space="preserve"> Résistance aux Antiparasitaires du RFSA est prévue lors du congrès de la SNGTV à Nantes en mai 2022 (date à préciser). Une salle sera demandée aux organisateurs</w:t>
      </w:r>
      <w:r w:rsidR="00CF2865">
        <w:rPr>
          <w:bCs/>
        </w:rPr>
        <w:t xml:space="preserve"> (</w:t>
      </w:r>
      <w:r w:rsidR="00974955">
        <w:rPr>
          <w:bCs/>
        </w:rPr>
        <w:t>ACTION</w:t>
      </w:r>
      <w:r w:rsidR="00CF2865">
        <w:rPr>
          <w:bCs/>
        </w:rPr>
        <w:t xml:space="preserve"> : </w:t>
      </w:r>
      <w:r w:rsidR="00974955">
        <w:rPr>
          <w:bCs/>
        </w:rPr>
        <w:t>SNGTV ?)</w:t>
      </w:r>
      <w:r>
        <w:rPr>
          <w:bCs/>
        </w:rPr>
        <w:t>.</w:t>
      </w:r>
    </w:p>
    <w:sectPr w:rsidR="00300FCD" w:rsidRPr="0048149C" w:rsidSect="00FD0057">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7"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273E2184"/>
    <w:multiLevelType w:val="hybridMultilevel"/>
    <w:tmpl w:val="EE9203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15:restartNumberingAfterBreak="0">
    <w:nsid w:val="3C567EE0"/>
    <w:multiLevelType w:val="hybridMultilevel"/>
    <w:tmpl w:val="4344E376"/>
    <w:lvl w:ilvl="0" w:tplc="040C000F">
      <w:start w:val="1"/>
      <w:numFmt w:val="decimal"/>
      <w:lvlText w:val="%1."/>
      <w:lvlJc w:val="left"/>
      <w:pPr>
        <w:ind w:left="1077" w:hanging="360"/>
      </w:p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7F5F3C"/>
    <w:multiLevelType w:val="hybridMultilevel"/>
    <w:tmpl w:val="44502E14"/>
    <w:lvl w:ilvl="0" w:tplc="1760049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0932BFD"/>
    <w:multiLevelType w:val="hybridMultilevel"/>
    <w:tmpl w:val="0E4E481E"/>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5967EE1"/>
    <w:multiLevelType w:val="hybridMultilevel"/>
    <w:tmpl w:val="CF7AF7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16"/>
  </w:num>
  <w:num w:numId="4">
    <w:abstractNumId w:val="7"/>
  </w:num>
  <w:num w:numId="5">
    <w:abstractNumId w:val="10"/>
  </w:num>
  <w:num w:numId="6">
    <w:abstractNumId w:val="11"/>
  </w:num>
  <w:num w:numId="7">
    <w:abstractNumId w:val="18"/>
  </w:num>
  <w:num w:numId="8">
    <w:abstractNumId w:val="22"/>
  </w:num>
  <w:num w:numId="9">
    <w:abstractNumId w:val="19"/>
  </w:num>
  <w:num w:numId="10">
    <w:abstractNumId w:val="12"/>
  </w:num>
  <w:num w:numId="11">
    <w:abstractNumId w:val="13"/>
  </w:num>
  <w:num w:numId="12">
    <w:abstractNumId w:val="0"/>
  </w:num>
  <w:num w:numId="13">
    <w:abstractNumId w:val="35"/>
  </w:num>
  <w:num w:numId="14">
    <w:abstractNumId w:val="28"/>
  </w:num>
  <w:num w:numId="15">
    <w:abstractNumId w:val="5"/>
  </w:num>
  <w:num w:numId="16">
    <w:abstractNumId w:val="34"/>
  </w:num>
  <w:num w:numId="17">
    <w:abstractNumId w:val="24"/>
  </w:num>
  <w:num w:numId="18">
    <w:abstractNumId w:val="27"/>
  </w:num>
  <w:num w:numId="19">
    <w:abstractNumId w:val="25"/>
  </w:num>
  <w:num w:numId="20">
    <w:abstractNumId w:val="3"/>
  </w:num>
  <w:num w:numId="21">
    <w:abstractNumId w:val="30"/>
  </w:num>
  <w:num w:numId="22">
    <w:abstractNumId w:val="4"/>
  </w:num>
  <w:num w:numId="23">
    <w:abstractNumId w:val="6"/>
  </w:num>
  <w:num w:numId="24">
    <w:abstractNumId w:val="9"/>
  </w:num>
  <w:num w:numId="25">
    <w:abstractNumId w:val="17"/>
  </w:num>
  <w:num w:numId="26">
    <w:abstractNumId w:val="2"/>
  </w:num>
  <w:num w:numId="27">
    <w:abstractNumId w:val="33"/>
  </w:num>
  <w:num w:numId="28">
    <w:abstractNumId w:val="15"/>
  </w:num>
  <w:num w:numId="29">
    <w:abstractNumId w:val="20"/>
  </w:num>
  <w:num w:numId="30">
    <w:abstractNumId w:val="29"/>
  </w:num>
  <w:num w:numId="31">
    <w:abstractNumId w:val="32"/>
  </w:num>
  <w:num w:numId="32">
    <w:abstractNumId w:val="23"/>
  </w:num>
  <w:num w:numId="33">
    <w:abstractNumId w:val="14"/>
  </w:num>
  <w:num w:numId="34">
    <w:abstractNumId w:val="31"/>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26ED0"/>
    <w:rsid w:val="00046AFF"/>
    <w:rsid w:val="00063743"/>
    <w:rsid w:val="00075601"/>
    <w:rsid w:val="00083825"/>
    <w:rsid w:val="000A3BCC"/>
    <w:rsid w:val="000A5706"/>
    <w:rsid w:val="000B5507"/>
    <w:rsid w:val="000D436A"/>
    <w:rsid w:val="000E23F0"/>
    <w:rsid w:val="000E3DA8"/>
    <w:rsid w:val="000E402C"/>
    <w:rsid w:val="000E65C1"/>
    <w:rsid w:val="000F402F"/>
    <w:rsid w:val="00117DDB"/>
    <w:rsid w:val="00121E05"/>
    <w:rsid w:val="00125173"/>
    <w:rsid w:val="00134794"/>
    <w:rsid w:val="0013565A"/>
    <w:rsid w:val="0014321C"/>
    <w:rsid w:val="001449D6"/>
    <w:rsid w:val="001610EA"/>
    <w:rsid w:val="001938F0"/>
    <w:rsid w:val="001A23F2"/>
    <w:rsid w:val="001A3A36"/>
    <w:rsid w:val="001B0EDB"/>
    <w:rsid w:val="001D4333"/>
    <w:rsid w:val="001D48EE"/>
    <w:rsid w:val="001E02D5"/>
    <w:rsid w:val="001E0FC5"/>
    <w:rsid w:val="001E3853"/>
    <w:rsid w:val="001F2238"/>
    <w:rsid w:val="001F42BC"/>
    <w:rsid w:val="00200A10"/>
    <w:rsid w:val="00203A83"/>
    <w:rsid w:val="00211A8E"/>
    <w:rsid w:val="0022225D"/>
    <w:rsid w:val="00233E33"/>
    <w:rsid w:val="00236463"/>
    <w:rsid w:val="002464A4"/>
    <w:rsid w:val="00263AE2"/>
    <w:rsid w:val="002657D4"/>
    <w:rsid w:val="00274E7C"/>
    <w:rsid w:val="002765D4"/>
    <w:rsid w:val="00276D0D"/>
    <w:rsid w:val="0028534C"/>
    <w:rsid w:val="002858AC"/>
    <w:rsid w:val="002A2968"/>
    <w:rsid w:val="002B799F"/>
    <w:rsid w:val="002D1582"/>
    <w:rsid w:val="002E0C34"/>
    <w:rsid w:val="002E212E"/>
    <w:rsid w:val="002E7C2D"/>
    <w:rsid w:val="002F10EE"/>
    <w:rsid w:val="00300FCD"/>
    <w:rsid w:val="00316D94"/>
    <w:rsid w:val="00325AAD"/>
    <w:rsid w:val="00326DCE"/>
    <w:rsid w:val="00343912"/>
    <w:rsid w:val="00346DD9"/>
    <w:rsid w:val="003512E3"/>
    <w:rsid w:val="0036315D"/>
    <w:rsid w:val="003871A6"/>
    <w:rsid w:val="003D386F"/>
    <w:rsid w:val="003E4856"/>
    <w:rsid w:val="003F26FC"/>
    <w:rsid w:val="00404B4B"/>
    <w:rsid w:val="00426B87"/>
    <w:rsid w:val="00444E4F"/>
    <w:rsid w:val="0045146D"/>
    <w:rsid w:val="00460CD9"/>
    <w:rsid w:val="0048149C"/>
    <w:rsid w:val="0049627D"/>
    <w:rsid w:val="004B20BA"/>
    <w:rsid w:val="004C6E16"/>
    <w:rsid w:val="004E5140"/>
    <w:rsid w:val="005104FF"/>
    <w:rsid w:val="0051576D"/>
    <w:rsid w:val="00523E33"/>
    <w:rsid w:val="00523EB9"/>
    <w:rsid w:val="00524CD0"/>
    <w:rsid w:val="005443FB"/>
    <w:rsid w:val="005718DE"/>
    <w:rsid w:val="00572595"/>
    <w:rsid w:val="00575AEA"/>
    <w:rsid w:val="00580969"/>
    <w:rsid w:val="005858CC"/>
    <w:rsid w:val="0058708A"/>
    <w:rsid w:val="005C6EFB"/>
    <w:rsid w:val="005F2A88"/>
    <w:rsid w:val="00614EDB"/>
    <w:rsid w:val="006263CA"/>
    <w:rsid w:val="006728A3"/>
    <w:rsid w:val="00693367"/>
    <w:rsid w:val="00695230"/>
    <w:rsid w:val="006C1B87"/>
    <w:rsid w:val="006C25EE"/>
    <w:rsid w:val="006D4510"/>
    <w:rsid w:val="006E028C"/>
    <w:rsid w:val="006F3F62"/>
    <w:rsid w:val="006F484D"/>
    <w:rsid w:val="00701DB1"/>
    <w:rsid w:val="007134D8"/>
    <w:rsid w:val="007157E3"/>
    <w:rsid w:val="00720078"/>
    <w:rsid w:val="00750CA5"/>
    <w:rsid w:val="007A46A5"/>
    <w:rsid w:val="007A4CFD"/>
    <w:rsid w:val="007B5866"/>
    <w:rsid w:val="007E24DE"/>
    <w:rsid w:val="007F2B8A"/>
    <w:rsid w:val="007F5589"/>
    <w:rsid w:val="007F5CEA"/>
    <w:rsid w:val="008005F0"/>
    <w:rsid w:val="008075C7"/>
    <w:rsid w:val="00817457"/>
    <w:rsid w:val="008420F5"/>
    <w:rsid w:val="00845099"/>
    <w:rsid w:val="008610FD"/>
    <w:rsid w:val="008663C7"/>
    <w:rsid w:val="00873CC9"/>
    <w:rsid w:val="008A21B9"/>
    <w:rsid w:val="008A5E1D"/>
    <w:rsid w:val="008C75C6"/>
    <w:rsid w:val="008D772C"/>
    <w:rsid w:val="008E1C10"/>
    <w:rsid w:val="00911AAD"/>
    <w:rsid w:val="00936C2C"/>
    <w:rsid w:val="00936D95"/>
    <w:rsid w:val="0094425C"/>
    <w:rsid w:val="0096620B"/>
    <w:rsid w:val="00974955"/>
    <w:rsid w:val="009B14D0"/>
    <w:rsid w:val="009B6CEC"/>
    <w:rsid w:val="009B7776"/>
    <w:rsid w:val="009C3F3F"/>
    <w:rsid w:val="009C6FE9"/>
    <w:rsid w:val="009D0551"/>
    <w:rsid w:val="009E121E"/>
    <w:rsid w:val="009E6EE6"/>
    <w:rsid w:val="009E748F"/>
    <w:rsid w:val="00A3201E"/>
    <w:rsid w:val="00A44B2F"/>
    <w:rsid w:val="00A579D9"/>
    <w:rsid w:val="00A60FA3"/>
    <w:rsid w:val="00A747A5"/>
    <w:rsid w:val="00A86430"/>
    <w:rsid w:val="00A9788B"/>
    <w:rsid w:val="00AB3A74"/>
    <w:rsid w:val="00AC3A68"/>
    <w:rsid w:val="00AE7163"/>
    <w:rsid w:val="00AF008A"/>
    <w:rsid w:val="00AF1D0F"/>
    <w:rsid w:val="00B13AB1"/>
    <w:rsid w:val="00B70A0D"/>
    <w:rsid w:val="00BA359A"/>
    <w:rsid w:val="00BB4938"/>
    <w:rsid w:val="00BD57D1"/>
    <w:rsid w:val="00BE1C6C"/>
    <w:rsid w:val="00BE1E76"/>
    <w:rsid w:val="00BF40C3"/>
    <w:rsid w:val="00C01EBA"/>
    <w:rsid w:val="00C03009"/>
    <w:rsid w:val="00C04FD1"/>
    <w:rsid w:val="00C133AC"/>
    <w:rsid w:val="00C574B6"/>
    <w:rsid w:val="00C80C04"/>
    <w:rsid w:val="00CC12E9"/>
    <w:rsid w:val="00CD7308"/>
    <w:rsid w:val="00CF1BD9"/>
    <w:rsid w:val="00CF2865"/>
    <w:rsid w:val="00CF65C0"/>
    <w:rsid w:val="00D1453A"/>
    <w:rsid w:val="00D27D7E"/>
    <w:rsid w:val="00D31160"/>
    <w:rsid w:val="00D37913"/>
    <w:rsid w:val="00D53D8E"/>
    <w:rsid w:val="00D556BC"/>
    <w:rsid w:val="00D62476"/>
    <w:rsid w:val="00D76B3F"/>
    <w:rsid w:val="00D82D6B"/>
    <w:rsid w:val="00D92306"/>
    <w:rsid w:val="00D92EAD"/>
    <w:rsid w:val="00D9533A"/>
    <w:rsid w:val="00DA4048"/>
    <w:rsid w:val="00DC7C10"/>
    <w:rsid w:val="00DD23BA"/>
    <w:rsid w:val="00DF43D4"/>
    <w:rsid w:val="00DF7610"/>
    <w:rsid w:val="00DF7E57"/>
    <w:rsid w:val="00E16E1A"/>
    <w:rsid w:val="00E20129"/>
    <w:rsid w:val="00E42963"/>
    <w:rsid w:val="00E522C4"/>
    <w:rsid w:val="00E979A6"/>
    <w:rsid w:val="00EC0184"/>
    <w:rsid w:val="00EC1AA1"/>
    <w:rsid w:val="00EC7DD8"/>
    <w:rsid w:val="00F079EF"/>
    <w:rsid w:val="00F16DF8"/>
    <w:rsid w:val="00F21550"/>
    <w:rsid w:val="00F25B17"/>
    <w:rsid w:val="00F379FE"/>
    <w:rsid w:val="00F37CC6"/>
    <w:rsid w:val="00F4750F"/>
    <w:rsid w:val="00F623E1"/>
    <w:rsid w:val="00F67BBE"/>
    <w:rsid w:val="00F82A69"/>
    <w:rsid w:val="00F8443E"/>
    <w:rsid w:val="00F9172C"/>
    <w:rsid w:val="00FB04C8"/>
    <w:rsid w:val="00FB2883"/>
    <w:rsid w:val="00FC282D"/>
    <w:rsid w:val="00FD0057"/>
    <w:rsid w:val="00FD2477"/>
    <w:rsid w:val="00FE2220"/>
    <w:rsid w:val="00FE77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029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paragraph" w:styleId="NormalWeb">
    <w:name w:val="Normal (Web)"/>
    <w:basedOn w:val="Normal"/>
    <w:uiPriority w:val="99"/>
    <w:semiHidden/>
    <w:unhideWhenUsed/>
    <w:rsid w:val="00523E33"/>
    <w:pPr>
      <w:spacing w:before="100" w:beforeAutospacing="1" w:after="100" w:afterAutospacing="1" w:line="240" w:lineRule="auto"/>
    </w:pPr>
    <w:rPr>
      <w:rFonts w:ascii="Calibri" w:hAnsi="Calibri" w:cs="Calibri"/>
      <w:color w:val="000000"/>
      <w:lang w:eastAsia="fr-FR"/>
    </w:rPr>
  </w:style>
  <w:style w:type="paragraph" w:styleId="Textebrut">
    <w:name w:val="Plain Text"/>
    <w:basedOn w:val="Normal"/>
    <w:link w:val="TextebrutCar"/>
    <w:uiPriority w:val="99"/>
    <w:semiHidden/>
    <w:unhideWhenUsed/>
    <w:rsid w:val="00D82D6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82D6B"/>
    <w:rPr>
      <w:rFonts w:ascii="Calibri" w:hAnsi="Calibri"/>
      <w:szCs w:val="21"/>
    </w:rPr>
  </w:style>
  <w:style w:type="character" w:styleId="Accentuation">
    <w:name w:val="Emphasis"/>
    <w:basedOn w:val="Policepardfaut"/>
    <w:uiPriority w:val="20"/>
    <w:qFormat/>
    <w:rsid w:val="00D27D7E"/>
    <w:rPr>
      <w:i/>
      <w:iCs/>
    </w:rPr>
  </w:style>
  <w:style w:type="character" w:styleId="Marquedecommentaire">
    <w:name w:val="annotation reference"/>
    <w:basedOn w:val="Policepardfaut"/>
    <w:uiPriority w:val="99"/>
    <w:semiHidden/>
    <w:unhideWhenUsed/>
    <w:rsid w:val="007E24DE"/>
    <w:rPr>
      <w:sz w:val="16"/>
      <w:szCs w:val="16"/>
    </w:rPr>
  </w:style>
  <w:style w:type="paragraph" w:styleId="Commentaire">
    <w:name w:val="annotation text"/>
    <w:basedOn w:val="Normal"/>
    <w:link w:val="CommentaireCar"/>
    <w:uiPriority w:val="99"/>
    <w:semiHidden/>
    <w:unhideWhenUsed/>
    <w:rsid w:val="007E24DE"/>
    <w:pPr>
      <w:spacing w:line="240" w:lineRule="auto"/>
    </w:pPr>
    <w:rPr>
      <w:sz w:val="20"/>
      <w:szCs w:val="20"/>
    </w:rPr>
  </w:style>
  <w:style w:type="character" w:customStyle="1" w:styleId="CommentaireCar">
    <w:name w:val="Commentaire Car"/>
    <w:basedOn w:val="Policepardfaut"/>
    <w:link w:val="Commentaire"/>
    <w:uiPriority w:val="99"/>
    <w:semiHidden/>
    <w:rsid w:val="007E24DE"/>
    <w:rPr>
      <w:sz w:val="20"/>
      <w:szCs w:val="20"/>
    </w:rPr>
  </w:style>
  <w:style w:type="paragraph" w:styleId="Objetducommentaire">
    <w:name w:val="annotation subject"/>
    <w:basedOn w:val="Commentaire"/>
    <w:next w:val="Commentaire"/>
    <w:link w:val="ObjetducommentaireCar"/>
    <w:uiPriority w:val="99"/>
    <w:semiHidden/>
    <w:unhideWhenUsed/>
    <w:rsid w:val="007E24DE"/>
    <w:rPr>
      <w:b/>
      <w:bCs/>
    </w:rPr>
  </w:style>
  <w:style w:type="character" w:customStyle="1" w:styleId="ObjetducommentaireCar">
    <w:name w:val="Objet du commentaire Car"/>
    <w:basedOn w:val="CommentaireCar"/>
    <w:link w:val="Objetducommentaire"/>
    <w:uiPriority w:val="99"/>
    <w:semiHidden/>
    <w:rsid w:val="007E2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249393167">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577714288">
      <w:bodyDiv w:val="1"/>
      <w:marLeft w:val="0"/>
      <w:marRight w:val="0"/>
      <w:marTop w:val="0"/>
      <w:marBottom w:val="0"/>
      <w:divBdr>
        <w:top w:val="none" w:sz="0" w:space="0" w:color="auto"/>
        <w:left w:val="none" w:sz="0" w:space="0" w:color="auto"/>
        <w:bottom w:val="none" w:sz="0" w:space="0" w:color="auto"/>
        <w:right w:val="none" w:sz="0" w:space="0" w:color="auto"/>
      </w:divBdr>
    </w:div>
    <w:div w:id="682171122">
      <w:bodyDiv w:val="1"/>
      <w:marLeft w:val="0"/>
      <w:marRight w:val="0"/>
      <w:marTop w:val="0"/>
      <w:marBottom w:val="0"/>
      <w:divBdr>
        <w:top w:val="none" w:sz="0" w:space="0" w:color="auto"/>
        <w:left w:val="none" w:sz="0" w:space="0" w:color="auto"/>
        <w:bottom w:val="none" w:sz="0" w:space="0" w:color="auto"/>
        <w:right w:val="none" w:sz="0" w:space="0" w:color="auto"/>
      </w:divBdr>
    </w:div>
    <w:div w:id="802581029">
      <w:bodyDiv w:val="1"/>
      <w:marLeft w:val="0"/>
      <w:marRight w:val="0"/>
      <w:marTop w:val="0"/>
      <w:marBottom w:val="0"/>
      <w:divBdr>
        <w:top w:val="none" w:sz="0" w:space="0" w:color="auto"/>
        <w:left w:val="none" w:sz="0" w:space="0" w:color="auto"/>
        <w:bottom w:val="none" w:sz="0" w:space="0" w:color="auto"/>
        <w:right w:val="none" w:sz="0" w:space="0" w:color="auto"/>
      </w:divBdr>
    </w:div>
    <w:div w:id="806628301">
      <w:bodyDiv w:val="1"/>
      <w:marLeft w:val="0"/>
      <w:marRight w:val="0"/>
      <w:marTop w:val="0"/>
      <w:marBottom w:val="0"/>
      <w:divBdr>
        <w:top w:val="none" w:sz="0" w:space="0" w:color="auto"/>
        <w:left w:val="none" w:sz="0" w:space="0" w:color="auto"/>
        <w:bottom w:val="none" w:sz="0" w:space="0" w:color="auto"/>
        <w:right w:val="none" w:sz="0" w:space="0" w:color="auto"/>
      </w:divBdr>
    </w:div>
    <w:div w:id="976255626">
      <w:bodyDiv w:val="1"/>
      <w:marLeft w:val="0"/>
      <w:marRight w:val="0"/>
      <w:marTop w:val="0"/>
      <w:marBottom w:val="0"/>
      <w:divBdr>
        <w:top w:val="none" w:sz="0" w:space="0" w:color="auto"/>
        <w:left w:val="none" w:sz="0" w:space="0" w:color="auto"/>
        <w:bottom w:val="none" w:sz="0" w:space="0" w:color="auto"/>
        <w:right w:val="none" w:sz="0" w:space="0" w:color="auto"/>
      </w:divBdr>
    </w:div>
    <w:div w:id="112893699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07528383">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563252450">
      <w:bodyDiv w:val="1"/>
      <w:marLeft w:val="0"/>
      <w:marRight w:val="0"/>
      <w:marTop w:val="0"/>
      <w:marBottom w:val="0"/>
      <w:divBdr>
        <w:top w:val="none" w:sz="0" w:space="0" w:color="auto"/>
        <w:left w:val="none" w:sz="0" w:space="0" w:color="auto"/>
        <w:bottom w:val="none" w:sz="0" w:space="0" w:color="auto"/>
        <w:right w:val="none" w:sz="0" w:space="0" w:color="auto"/>
      </w:divBdr>
    </w:div>
    <w:div w:id="1709717825">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41315876">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u-francais-sante-animale.net/wp-content/uploads/2021/05/Projet-DIAGRAM-rfsa.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u-francais-sante-animale.net/wp-content/uploads/2021/05/CR-GT-Resistance-aux-antiparasitaires-du-RFSA_reunion-du-25-juin-2021_-1.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2</cp:revision>
  <cp:lastPrinted>2016-05-18T15:04:00Z</cp:lastPrinted>
  <dcterms:created xsi:type="dcterms:W3CDTF">2021-11-04T13:39:00Z</dcterms:created>
  <dcterms:modified xsi:type="dcterms:W3CDTF">2021-11-04T13:39:00Z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