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3CB2" w14:textId="67625F65" w:rsidR="00E16E1A" w:rsidRDefault="00E16E1A" w:rsidP="008F441F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</w:p>
    <w:p w14:paraId="46E7555A" w14:textId="03019926" w:rsidR="000A5706" w:rsidRPr="00E16E1A" w:rsidRDefault="00523E33" w:rsidP="00FB1ADD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  <w:r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Groupe </w:t>
      </w:r>
      <w:r w:rsidR="00E42963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Résistance aux </w:t>
      </w:r>
      <w:r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Antiparasitaires</w:t>
      </w:r>
    </w:p>
    <w:p w14:paraId="33C22B9F" w14:textId="363F9847" w:rsidR="009C3F3F" w:rsidRPr="00E16E1A" w:rsidRDefault="00AD4BE1" w:rsidP="00FB1ADD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C</w:t>
      </w:r>
      <w:r w:rsidR="00C0425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ompte rendu </w:t>
      </w:r>
      <w:r w:rsidR="006728A3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de la r</w:t>
      </w:r>
      <w:r w:rsidR="000A5706" w:rsidRPr="00E16E1A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éunion du </w:t>
      </w:r>
      <w:r w:rsidR="009032EF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25</w:t>
      </w:r>
      <w:r w:rsidR="00F21550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 </w:t>
      </w:r>
      <w:r w:rsidR="009032EF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juin 2021</w:t>
      </w:r>
      <w:r w:rsidR="002E0C34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 xml:space="preserve"> de 1</w:t>
      </w:r>
      <w:r w:rsidR="009032EF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0</w:t>
      </w:r>
      <w:r w:rsidR="002E0C34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h à 1</w:t>
      </w:r>
      <w:r w:rsidR="009032EF">
        <w:rPr>
          <w:rFonts w:ascii="Calibri Light" w:eastAsia="Times New Roman" w:hAnsi="Calibri Light" w:cs="Times New Roman"/>
          <w:b/>
          <w:bCs/>
          <w:color w:val="000000" w:themeColor="text1"/>
          <w:szCs w:val="20"/>
          <w:u w:val="single"/>
          <w:lang w:eastAsia="fr-FR"/>
        </w:rPr>
        <w:t>2h30</w:t>
      </w:r>
    </w:p>
    <w:p w14:paraId="3B104901" w14:textId="77777777" w:rsidR="000A5706" w:rsidRPr="00E16E1A" w:rsidRDefault="000A5706" w:rsidP="00FB1ADD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7ACD87D2" w14:textId="2C5BE727" w:rsidR="009C3F3F" w:rsidRDefault="00F21550" w:rsidP="00FB1ADD">
      <w:pPr>
        <w:pStyle w:val="Paragraphedeliste"/>
        <w:spacing w:after="0" w:line="320" w:lineRule="atLeast"/>
        <w:ind w:left="0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  <w:t>Réunion VISIO ZOOM</w:t>
      </w:r>
    </w:p>
    <w:p w14:paraId="5CBF9BCF" w14:textId="3DC92978" w:rsidR="008F441F" w:rsidRDefault="008F441F" w:rsidP="00FB1ADD">
      <w:pPr>
        <w:pStyle w:val="Paragraphedeliste"/>
        <w:spacing w:after="0" w:line="320" w:lineRule="atLeast"/>
        <w:ind w:left="0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2475D966" w14:textId="476C0A1E" w:rsidR="008F441F" w:rsidRPr="000F5966" w:rsidRDefault="008F441F" w:rsidP="00FB1ADD">
      <w:pPr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 w:val="24"/>
          <w:szCs w:val="24"/>
          <w:lang w:eastAsia="fr-FR"/>
        </w:rPr>
      </w:pPr>
      <w:r w:rsidRPr="000F5966">
        <w:rPr>
          <w:rFonts w:ascii="Calibri Light" w:eastAsia="Times New Roman" w:hAnsi="Calibri Light" w:cs="Times New Roman"/>
          <w:b/>
          <w:bCs/>
          <w:color w:val="000000" w:themeColor="text1"/>
          <w:sz w:val="24"/>
          <w:szCs w:val="24"/>
          <w:lang w:eastAsia="fr-FR"/>
        </w:rPr>
        <w:t>COMPTE-RENDU</w:t>
      </w:r>
    </w:p>
    <w:p w14:paraId="6948AF31" w14:textId="77777777" w:rsidR="008F441F" w:rsidRPr="008075C7" w:rsidRDefault="008F441F" w:rsidP="00F21550">
      <w:pPr>
        <w:pStyle w:val="Paragraphedeliste"/>
        <w:spacing w:after="0" w:line="320" w:lineRule="atLeast"/>
        <w:jc w:val="center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6D536CB2" w14:textId="77777777" w:rsidR="008F441F" w:rsidRPr="00E16E1A" w:rsidRDefault="008F441F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Cs w:val="20"/>
          <w:lang w:eastAsia="fr-FR"/>
        </w:rPr>
      </w:pPr>
    </w:p>
    <w:p w14:paraId="798F4C94" w14:textId="103196AD" w:rsidR="00523E33" w:rsidRPr="00E16E1A" w:rsidRDefault="006F5531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  <w:t xml:space="preserve">Voir </w:t>
      </w:r>
      <w:hyperlink r:id="rId7" w:history="1">
        <w:r w:rsidR="00FA67FC" w:rsidRPr="00FB1ADD">
          <w:rPr>
            <w:rStyle w:val="Lienhypertexte"/>
            <w:rFonts w:ascii="Calibri Light" w:eastAsia="Times New Roman" w:hAnsi="Calibri Light" w:cs="Times New Roman"/>
            <w:b/>
            <w:bCs/>
            <w:sz w:val="20"/>
            <w:szCs w:val="20"/>
            <w:lang w:eastAsia="fr-FR"/>
          </w:rPr>
          <w:t>feuille de présence</w:t>
        </w:r>
      </w:hyperlink>
      <w:r w:rsidR="008F441F">
        <w:rPr>
          <w:rFonts w:ascii="Calibri Light" w:eastAsia="Times New Roman" w:hAnsi="Calibri Light" w:cs="Times New Roman"/>
          <w:b/>
          <w:bCs/>
          <w:sz w:val="20"/>
          <w:szCs w:val="20"/>
          <w:lang w:eastAsia="fr-FR"/>
        </w:rPr>
        <w:t xml:space="preserve"> </w:t>
      </w:r>
    </w:p>
    <w:p w14:paraId="2211EC27" w14:textId="77777777" w:rsidR="00AF008A" w:rsidRPr="00E16E1A" w:rsidRDefault="00AF008A" w:rsidP="0049627D">
      <w:pPr>
        <w:spacing w:after="0" w:line="320" w:lineRule="atLeast"/>
        <w:rPr>
          <w:rFonts w:ascii="Calibri Light" w:eastAsia="Times New Roman" w:hAnsi="Calibri Light" w:cs="Times New Roman"/>
          <w:b/>
          <w:bCs/>
          <w:color w:val="000000" w:themeColor="text1"/>
          <w:sz w:val="20"/>
          <w:szCs w:val="20"/>
          <w:lang w:eastAsia="fr-FR"/>
        </w:rPr>
      </w:pPr>
    </w:p>
    <w:p w14:paraId="72255D5B" w14:textId="2BCAD8B8" w:rsidR="008075C7" w:rsidRPr="006F5531" w:rsidRDefault="00F21550" w:rsidP="008F441F">
      <w:pPr>
        <w:pStyle w:val="Textebrut"/>
        <w:numPr>
          <w:ilvl w:val="0"/>
          <w:numId w:val="33"/>
        </w:numPr>
        <w:ind w:left="426"/>
        <w:rPr>
          <w:b/>
          <w:bCs/>
        </w:rPr>
      </w:pPr>
      <w:r w:rsidRPr="006F5531">
        <w:rPr>
          <w:b/>
          <w:bCs/>
        </w:rPr>
        <w:t xml:space="preserve">Validation dernier </w:t>
      </w:r>
      <w:r w:rsidR="009E121E" w:rsidRPr="006F5531">
        <w:rPr>
          <w:b/>
          <w:bCs/>
        </w:rPr>
        <w:t>compte-rendu</w:t>
      </w:r>
      <w:r w:rsidR="000E2E90">
        <w:rPr>
          <w:b/>
          <w:bCs/>
        </w:rPr>
        <w:t xml:space="preserve"> du 12</w:t>
      </w:r>
      <w:r w:rsidR="00D82D6B" w:rsidRPr="006F5531">
        <w:rPr>
          <w:b/>
          <w:bCs/>
        </w:rPr>
        <w:t xml:space="preserve"> </w:t>
      </w:r>
      <w:r w:rsidR="000E2E90">
        <w:rPr>
          <w:b/>
          <w:bCs/>
        </w:rPr>
        <w:t>novembre</w:t>
      </w:r>
      <w:r w:rsidR="00D82D6B" w:rsidRPr="006F5531">
        <w:rPr>
          <w:b/>
          <w:bCs/>
        </w:rPr>
        <w:t xml:space="preserve"> 2020</w:t>
      </w:r>
    </w:p>
    <w:p w14:paraId="364287EF" w14:textId="50AB78ED" w:rsidR="00D82D6B" w:rsidRDefault="00D82D6B" w:rsidP="001A23F2">
      <w:pPr>
        <w:pStyle w:val="Textebrut"/>
        <w:ind w:left="720"/>
      </w:pPr>
    </w:p>
    <w:p w14:paraId="3FB6B463" w14:textId="77777777" w:rsidR="006F5531" w:rsidRDefault="006F5531" w:rsidP="008F441F">
      <w:pPr>
        <w:pStyle w:val="Textebrut"/>
      </w:pPr>
    </w:p>
    <w:p w14:paraId="40B3D97D" w14:textId="63FAA17D" w:rsidR="00D82D6B" w:rsidRDefault="00D82D6B" w:rsidP="008F441F">
      <w:pPr>
        <w:pStyle w:val="Textebrut"/>
        <w:numPr>
          <w:ilvl w:val="0"/>
          <w:numId w:val="33"/>
        </w:numPr>
        <w:ind w:left="426" w:hanging="426"/>
        <w:rPr>
          <w:b/>
          <w:bCs/>
        </w:rPr>
      </w:pPr>
      <w:r w:rsidRPr="006F5531">
        <w:rPr>
          <w:b/>
          <w:bCs/>
        </w:rPr>
        <w:t xml:space="preserve">Suivi des actions en cours </w:t>
      </w:r>
    </w:p>
    <w:p w14:paraId="211235B1" w14:textId="77777777" w:rsidR="00667506" w:rsidRPr="006F5531" w:rsidRDefault="00667506" w:rsidP="008F441F">
      <w:pPr>
        <w:pStyle w:val="Textebrut"/>
        <w:rPr>
          <w:b/>
          <w:bCs/>
        </w:rPr>
      </w:pPr>
    </w:p>
    <w:p w14:paraId="1D493549" w14:textId="137F8906" w:rsidR="000E2E90" w:rsidRDefault="000E2E90" w:rsidP="008F441F">
      <w:pPr>
        <w:pStyle w:val="Textebrut"/>
        <w:numPr>
          <w:ilvl w:val="1"/>
          <w:numId w:val="33"/>
        </w:numPr>
        <w:ind w:left="709"/>
      </w:pPr>
      <w:r>
        <w:t xml:space="preserve">Point gaps thérapeutiques sur le </w:t>
      </w:r>
      <w:proofErr w:type="spellStart"/>
      <w:r>
        <w:t>monépantel</w:t>
      </w:r>
      <w:proofErr w:type="spellEnd"/>
      <w:r>
        <w:t xml:space="preserve"> en filières petits ruminants laitiers (C. Chartier)</w:t>
      </w:r>
    </w:p>
    <w:p w14:paraId="26C7E26E" w14:textId="39208A58" w:rsidR="000E2E90" w:rsidRPr="000E2E90" w:rsidRDefault="000E2E90" w:rsidP="008F441F">
      <w:pPr>
        <w:pStyle w:val="Textebrut"/>
      </w:pPr>
      <w:r w:rsidRPr="000E2E90">
        <w:rPr>
          <w:i/>
          <w:u w:val="single"/>
        </w:rPr>
        <w:t>Réunions RFSA des 16 et 27/04/21</w:t>
      </w:r>
      <w:r w:rsidRPr="000E2E90">
        <w:t xml:space="preserve"> : liste des gaps thérapeutiques en filières PR</w:t>
      </w:r>
    </w:p>
    <w:p w14:paraId="5FA0B7F1" w14:textId="77777777" w:rsidR="00094637" w:rsidRDefault="000E2E90" w:rsidP="0016448F">
      <w:pPr>
        <w:pStyle w:val="Textebrut"/>
        <w:jc w:val="both"/>
      </w:pPr>
      <w:r w:rsidRPr="000E2E90">
        <w:t xml:space="preserve">Strongyloses gastro-intestinales listées en priorité n°1 avec </w:t>
      </w:r>
    </w:p>
    <w:p w14:paraId="0A49A4EB" w14:textId="77777777" w:rsidR="00094637" w:rsidRDefault="000E2E90" w:rsidP="0016448F">
      <w:pPr>
        <w:pStyle w:val="Textebrut"/>
        <w:jc w:val="both"/>
      </w:pPr>
      <w:r>
        <w:t xml:space="preserve">1. </w:t>
      </w:r>
      <w:r w:rsidRPr="000E2E90">
        <w:t xml:space="preserve">résistances aux BZD et </w:t>
      </w:r>
      <w:r w:rsidR="002C0C54">
        <w:t>aux</w:t>
      </w:r>
      <w:r w:rsidRPr="000E2E90">
        <w:t xml:space="preserve"> lactones macrocycliques (augmentation des cas de pharmacovigilance),</w:t>
      </w:r>
      <w:r>
        <w:t xml:space="preserve"> 2.</w:t>
      </w:r>
      <w:r w:rsidRPr="000E2E90">
        <w:t xml:space="preserve"> interdiction d’utilisation du </w:t>
      </w:r>
      <w:proofErr w:type="spellStart"/>
      <w:r w:rsidRPr="000E2E90">
        <w:t>lévamisole</w:t>
      </w:r>
      <w:proofErr w:type="spellEnd"/>
      <w:r w:rsidRPr="000E2E90">
        <w:t xml:space="preserve">, </w:t>
      </w:r>
    </w:p>
    <w:p w14:paraId="5D466A54" w14:textId="33BD8FFD" w:rsidR="000E2E90" w:rsidRPr="000E2E90" w:rsidRDefault="000E2E90" w:rsidP="0016448F">
      <w:pPr>
        <w:pStyle w:val="Textebrut"/>
        <w:jc w:val="both"/>
      </w:pPr>
      <w:r>
        <w:t xml:space="preserve">3. </w:t>
      </w:r>
      <w:r w:rsidRPr="000E2E90">
        <w:t>question de l’</w:t>
      </w:r>
      <w:proofErr w:type="spellStart"/>
      <w:r w:rsidRPr="000E2E90">
        <w:t>éprinomectine</w:t>
      </w:r>
      <w:proofErr w:type="spellEnd"/>
      <w:r w:rsidRPr="000E2E90">
        <w:t xml:space="preserve"> pour on (</w:t>
      </w:r>
      <w:r>
        <w:t xml:space="preserve">variabilité </w:t>
      </w:r>
      <w:r w:rsidRPr="000E2E90">
        <w:t>pharmaco</w:t>
      </w:r>
      <w:r>
        <w:t>cinétique</w:t>
      </w:r>
      <w:r w:rsidRPr="000E2E90">
        <w:t>, pas de T</w:t>
      </w:r>
      <w:r>
        <w:t xml:space="preserve">raitement </w:t>
      </w:r>
      <w:r w:rsidRPr="000E2E90">
        <w:t>C</w:t>
      </w:r>
      <w:r>
        <w:t xml:space="preserve">iblé </w:t>
      </w:r>
      <w:r w:rsidRPr="000E2E90">
        <w:t>S</w:t>
      </w:r>
      <w:r>
        <w:t>électif</w:t>
      </w:r>
      <w:r w:rsidRPr="000E2E90">
        <w:t xml:space="preserve"> possible, </w:t>
      </w:r>
      <w:r>
        <w:t xml:space="preserve">usage de la </w:t>
      </w:r>
      <w:r w:rsidRPr="000E2E90">
        <w:t>voie orale</w:t>
      </w:r>
      <w:r>
        <w:t xml:space="preserve"> sur le terrain</w:t>
      </w:r>
      <w:r w:rsidRPr="000E2E90">
        <w:t>…)</w:t>
      </w:r>
    </w:p>
    <w:p w14:paraId="242D955D" w14:textId="13494D45" w:rsidR="000E2E90" w:rsidRDefault="000E2E90" w:rsidP="008F441F">
      <w:pPr>
        <w:pStyle w:val="Textebrut"/>
      </w:pPr>
      <w:r w:rsidRPr="000E2E90">
        <w:t xml:space="preserve">Intérêt potentiel du </w:t>
      </w:r>
      <w:proofErr w:type="spellStart"/>
      <w:r w:rsidRPr="000E2E90">
        <w:t>monépantel</w:t>
      </w:r>
      <w:proofErr w:type="spellEnd"/>
      <w:r w:rsidRPr="000E2E90">
        <w:t xml:space="preserve"> (</w:t>
      </w:r>
      <w:proofErr w:type="spellStart"/>
      <w:r w:rsidRPr="000E2E90">
        <w:t>Zolvix</w:t>
      </w:r>
      <w:proofErr w:type="spellEnd"/>
      <w:r w:rsidRPr="000E2E90">
        <w:t>®) en filière laitière PR (tarissement) : AMM ovin</w:t>
      </w:r>
      <w:r>
        <w:t xml:space="preserve"> viande</w:t>
      </w:r>
      <w:r w:rsidRPr="000E2E90">
        <w:t>, LMR lait</w:t>
      </w:r>
    </w:p>
    <w:p w14:paraId="0B038EC4" w14:textId="47611D92" w:rsidR="000E2E90" w:rsidRDefault="000E2E90" w:rsidP="0016448F">
      <w:pPr>
        <w:pStyle w:val="Textebrut"/>
        <w:jc w:val="both"/>
      </w:pPr>
      <w:r w:rsidRPr="000E2E90">
        <w:rPr>
          <w:i/>
          <w:u w:val="single"/>
        </w:rPr>
        <w:t>Proposition de Laure Baduel (ANMV, ANSES)</w:t>
      </w:r>
      <w:r>
        <w:t> : r</w:t>
      </w:r>
      <w:r w:rsidRPr="000E2E90">
        <w:t xml:space="preserve">édaction d’un argumentaire sur l'intérêt du </w:t>
      </w:r>
      <w:proofErr w:type="spellStart"/>
      <w:r w:rsidRPr="000E2E90">
        <w:t>monépantel</w:t>
      </w:r>
      <w:proofErr w:type="spellEnd"/>
      <w:r w:rsidRPr="000E2E90">
        <w:t xml:space="preserve"> en filière laitière ovins et caprins, en tant qu'alternative pour limiter le développement de résistances aux autres antiparasitaires, afin de l’adresser au titulaire (</w:t>
      </w:r>
      <w:proofErr w:type="spellStart"/>
      <w:r w:rsidRPr="000E2E90">
        <w:t>Elanco</w:t>
      </w:r>
      <w:proofErr w:type="spellEnd"/>
      <w:r w:rsidRPr="000E2E90">
        <w:t xml:space="preserve">) pour l'inciter à réaliser une étude de déplétion dans le lait (chez chèvres et/ou brebis) lors de traitement au tarissement ou pendant la période sèche. </w:t>
      </w:r>
      <w:r w:rsidR="00094637">
        <w:t xml:space="preserve">Objectif, avoir des éléments permettant la prescription par la cascade. </w:t>
      </w:r>
      <w:r w:rsidRPr="000E2E90">
        <w:t xml:space="preserve">En effet, seules les données d'une telle étude (menée selon les exigences actuelles ou à venir -  </w:t>
      </w:r>
      <w:proofErr w:type="spellStart"/>
      <w:r w:rsidRPr="000E2E90">
        <w:t>cf</w:t>
      </w:r>
      <w:proofErr w:type="spellEnd"/>
      <w:r w:rsidRPr="000E2E90">
        <w:t xml:space="preserve"> VICH GL 46 and/or VICH GL 48) permettraient d'établir un TA forfaitaire dans le cadre de la cascade sans risques pour le consommateur, et de lutter contre le développement aujourd'hui très critique de résistances.</w:t>
      </w:r>
    </w:p>
    <w:p w14:paraId="46968E79" w14:textId="7C5A3E02" w:rsidR="00435799" w:rsidRDefault="00435799" w:rsidP="008F441F">
      <w:pPr>
        <w:pStyle w:val="Textebrut"/>
        <w:rPr>
          <w:i/>
          <w:u w:val="single"/>
        </w:rPr>
      </w:pPr>
      <w:r>
        <w:rPr>
          <w:i/>
          <w:u w:val="single"/>
        </w:rPr>
        <w:t>Discussion</w:t>
      </w:r>
    </w:p>
    <w:p w14:paraId="0ED5E2D9" w14:textId="31CCD604" w:rsidR="00435799" w:rsidRPr="00435799" w:rsidRDefault="00435799" w:rsidP="008F441F">
      <w:pPr>
        <w:pStyle w:val="Textebrut"/>
      </w:pPr>
      <w:r>
        <w:t xml:space="preserve">Cédric Neveu évoque les apparitions de résistance rapide des nématodes avec le </w:t>
      </w:r>
      <w:proofErr w:type="spellStart"/>
      <w:r>
        <w:t>monépantel</w:t>
      </w:r>
      <w:proofErr w:type="spellEnd"/>
      <w:r>
        <w:t xml:space="preserve"> et l’intérêt par ailleurs du </w:t>
      </w:r>
      <w:proofErr w:type="spellStart"/>
      <w:r>
        <w:t>derquantel</w:t>
      </w:r>
      <w:proofErr w:type="spellEnd"/>
      <w:r w:rsidR="002C0C54">
        <w:t xml:space="preserve"> (associé à l’abamectine dans le </w:t>
      </w:r>
      <w:proofErr w:type="spellStart"/>
      <w:r w:rsidR="002C0C54">
        <w:t>Startect</w:t>
      </w:r>
      <w:proofErr w:type="spellEnd"/>
      <w:r w:rsidR="002C0C54">
        <w:rPr>
          <w:rFonts w:cs="Calibri"/>
        </w:rPr>
        <w:t xml:space="preserve">® </w:t>
      </w:r>
      <w:r w:rsidR="002C0C54">
        <w:t xml:space="preserve">de </w:t>
      </w:r>
      <w:proofErr w:type="spellStart"/>
      <w:r w:rsidR="002C0C54">
        <w:t>Zoetis</w:t>
      </w:r>
      <w:proofErr w:type="spellEnd"/>
      <w:r w:rsidR="002C0C54">
        <w:rPr>
          <w:rFonts w:cs="Calibri"/>
        </w:rPr>
        <w:t xml:space="preserve"> commercialisé dans certains pays de l’hémisphère sud</w:t>
      </w:r>
      <w:r w:rsidR="002C0C54">
        <w:t xml:space="preserve">). </w:t>
      </w:r>
    </w:p>
    <w:p w14:paraId="0FDB4659" w14:textId="6D3C8A67" w:rsidR="00435799" w:rsidRPr="000E2E90" w:rsidRDefault="00435799" w:rsidP="008F441F">
      <w:pPr>
        <w:pStyle w:val="Textebrut"/>
      </w:pPr>
      <w:r>
        <w:rPr>
          <w:i/>
          <w:u w:val="single"/>
        </w:rPr>
        <w:t>Action du GT</w:t>
      </w:r>
    </w:p>
    <w:p w14:paraId="7E26179F" w14:textId="124D95ED" w:rsidR="000E2E90" w:rsidRDefault="00435799" w:rsidP="008F441F">
      <w:pPr>
        <w:pStyle w:val="Textebrut"/>
      </w:pPr>
      <w:r>
        <w:t>Note</w:t>
      </w:r>
      <w:r w:rsidR="000E2E90" w:rsidRPr="000E2E90">
        <w:t xml:space="preserve"> à </w:t>
      </w:r>
      <w:proofErr w:type="spellStart"/>
      <w:r w:rsidR="000E2E90" w:rsidRPr="000E2E90">
        <w:t>co-rédiger</w:t>
      </w:r>
      <w:proofErr w:type="spellEnd"/>
      <w:r w:rsidR="000E2E90" w:rsidRPr="000E2E90">
        <w:t xml:space="preserve"> par les experts académiques/scientifiques, réglementaires (ANMV) et les professionnels vétérinaire</w:t>
      </w:r>
      <w:r>
        <w:t>s</w:t>
      </w:r>
      <w:r w:rsidR="000E2E90" w:rsidRPr="000E2E90">
        <w:t xml:space="preserve"> + filières</w:t>
      </w:r>
      <w:r>
        <w:t xml:space="preserve">. P. Jacquiet, C. </w:t>
      </w:r>
      <w:proofErr w:type="spellStart"/>
      <w:r>
        <w:t>Paraud</w:t>
      </w:r>
      <w:proofErr w:type="spellEnd"/>
      <w:r>
        <w:t xml:space="preserve"> et J. Devos se proposent de participer à cette rédaction pour la partie scientifique et professionnelle. C. Chartier va proposer un plan avant l’été. Un draft pourrait être envisagé d’ici la fin septembre.</w:t>
      </w:r>
    </w:p>
    <w:p w14:paraId="457D5B1F" w14:textId="751D8CAD" w:rsidR="002C0C54" w:rsidRDefault="002C0C54" w:rsidP="008F441F">
      <w:pPr>
        <w:pStyle w:val="Textebrut"/>
        <w:ind w:left="709"/>
      </w:pPr>
    </w:p>
    <w:p w14:paraId="45080867" w14:textId="0F18DDC4" w:rsidR="002C0C54" w:rsidRDefault="002C0C54" w:rsidP="008F441F">
      <w:pPr>
        <w:pStyle w:val="Textebrut"/>
        <w:numPr>
          <w:ilvl w:val="1"/>
          <w:numId w:val="33"/>
        </w:numPr>
        <w:ind w:left="709"/>
      </w:pPr>
      <w:r>
        <w:t>Point gaps thérapeutiques : résistance des ectoparasites aux pyréthrinoïdes (C. Chartier)</w:t>
      </w:r>
    </w:p>
    <w:p w14:paraId="4800529D" w14:textId="2848BD01" w:rsidR="002C0C54" w:rsidRDefault="002C0C54" w:rsidP="008F441F">
      <w:pPr>
        <w:pStyle w:val="Textebrut"/>
      </w:pPr>
      <w:r>
        <w:t>Demande d’appui/expertise émanant de Laure Baduel.</w:t>
      </w:r>
    </w:p>
    <w:p w14:paraId="161311BE" w14:textId="77777777" w:rsidR="002C0C54" w:rsidRPr="000E2E90" w:rsidRDefault="002C0C54" w:rsidP="008F441F">
      <w:pPr>
        <w:pStyle w:val="Textebrut"/>
      </w:pPr>
      <w:r>
        <w:rPr>
          <w:i/>
          <w:u w:val="single"/>
        </w:rPr>
        <w:t>Action du GT</w:t>
      </w:r>
    </w:p>
    <w:p w14:paraId="0987980C" w14:textId="4008533C" w:rsidR="002C0C54" w:rsidRDefault="002C0C54" w:rsidP="008F441F">
      <w:pPr>
        <w:pStyle w:val="Textebrut"/>
      </w:pPr>
      <w:r>
        <w:t>Contact à établir avec P. Jacquiet (ENVT) et l’équipe ectoparasites.</w:t>
      </w:r>
    </w:p>
    <w:p w14:paraId="1A6E0C33" w14:textId="21CDE85C" w:rsidR="005742BE" w:rsidRDefault="005742BE" w:rsidP="002C0C54">
      <w:pPr>
        <w:pStyle w:val="Textebrut"/>
        <w:ind w:left="1440"/>
      </w:pPr>
    </w:p>
    <w:p w14:paraId="3D12F2BD" w14:textId="77777777" w:rsidR="008F441F" w:rsidRDefault="008F441F">
      <w:pPr>
        <w:rPr>
          <w:rFonts w:ascii="Calibri" w:hAnsi="Calibri"/>
          <w:b/>
          <w:bCs/>
          <w:szCs w:val="21"/>
        </w:rPr>
      </w:pPr>
      <w:r>
        <w:rPr>
          <w:b/>
          <w:bCs/>
        </w:rPr>
        <w:br w:type="page"/>
      </w:r>
    </w:p>
    <w:p w14:paraId="3B30083B" w14:textId="4A76727D" w:rsidR="00D82D6B" w:rsidRDefault="005742BE" w:rsidP="008F441F">
      <w:pPr>
        <w:pStyle w:val="Textebrut"/>
        <w:numPr>
          <w:ilvl w:val="0"/>
          <w:numId w:val="33"/>
        </w:numPr>
        <w:ind w:left="426"/>
        <w:rPr>
          <w:b/>
          <w:bCs/>
        </w:rPr>
      </w:pPr>
      <w:r>
        <w:rPr>
          <w:b/>
          <w:bCs/>
        </w:rPr>
        <w:lastRenderedPageBreak/>
        <w:t>Habilitation sanitaire (J. Devos)</w:t>
      </w:r>
    </w:p>
    <w:p w14:paraId="05C1F04E" w14:textId="65BA9F04" w:rsidR="004F5418" w:rsidRDefault="005742BE" w:rsidP="0016448F">
      <w:pPr>
        <w:pStyle w:val="Textebrut"/>
        <w:jc w:val="both"/>
      </w:pPr>
      <w:r>
        <w:t>Les vétos sanitaires doivent effectuer 2 formations tous les 5 ans. Un document de présentation de ce projet de formation continue sur la résistance aux antiparasitaires va circuler parmi les membres du GT pour remarques éventuelles</w:t>
      </w:r>
      <w:r w:rsidR="00DE30D9">
        <w:t xml:space="preserve"> ( consultation des membres du RFSA jusqu’au 5 juillet )</w:t>
      </w:r>
      <w:r>
        <w:t>. Cette formation d’une durée de 3 heures devrait être mise au catalogue en 2022 et devrait être dispensée par un binôme praticien/</w:t>
      </w:r>
      <w:r w:rsidR="00D74028">
        <w:t>véto de l’administration. Le GT sera sollicité pour la conception de cette formation et dans la formation des formateurs.</w:t>
      </w:r>
    </w:p>
    <w:p w14:paraId="0F08592F" w14:textId="03E5D936" w:rsidR="00D82D6B" w:rsidRDefault="00D82D6B" w:rsidP="00D82D6B">
      <w:pPr>
        <w:pStyle w:val="Textebrut"/>
      </w:pPr>
    </w:p>
    <w:p w14:paraId="5D9D7133" w14:textId="0107081F" w:rsidR="00D82D6B" w:rsidRDefault="00D74028" w:rsidP="008F441F">
      <w:pPr>
        <w:pStyle w:val="Paragraphedeliste"/>
        <w:numPr>
          <w:ilvl w:val="0"/>
          <w:numId w:val="33"/>
        </w:numPr>
        <w:ind w:left="426"/>
        <w:rPr>
          <w:rFonts w:ascii="Calibri" w:hAnsi="Calibri"/>
          <w:b/>
          <w:bCs/>
          <w:szCs w:val="21"/>
        </w:rPr>
      </w:pPr>
      <w:r>
        <w:rPr>
          <w:rFonts w:ascii="Calibri" w:hAnsi="Calibri"/>
          <w:b/>
          <w:bCs/>
          <w:szCs w:val="21"/>
        </w:rPr>
        <w:t xml:space="preserve">Projet de consortium autour de la gestion de la résistance </w:t>
      </w:r>
      <w:r w:rsidR="00D82D6B" w:rsidRPr="006F5531">
        <w:rPr>
          <w:rFonts w:ascii="Calibri" w:hAnsi="Calibri"/>
          <w:b/>
          <w:bCs/>
          <w:szCs w:val="21"/>
        </w:rPr>
        <w:t>(</w:t>
      </w:r>
      <w:r>
        <w:rPr>
          <w:rFonts w:ascii="Calibri" w:hAnsi="Calibri"/>
          <w:b/>
          <w:bCs/>
          <w:szCs w:val="21"/>
        </w:rPr>
        <w:t xml:space="preserve">G. Bourgoin, </w:t>
      </w:r>
      <w:r w:rsidR="00D82D6B" w:rsidRPr="006F5531">
        <w:rPr>
          <w:rFonts w:ascii="Calibri" w:hAnsi="Calibri"/>
          <w:b/>
          <w:bCs/>
          <w:szCs w:val="21"/>
        </w:rPr>
        <w:t>J. Devos</w:t>
      </w:r>
      <w:r>
        <w:rPr>
          <w:rFonts w:ascii="Calibri" w:hAnsi="Calibri"/>
          <w:b/>
          <w:bCs/>
          <w:szCs w:val="21"/>
        </w:rPr>
        <w:t>, C. Chartier)</w:t>
      </w:r>
    </w:p>
    <w:p w14:paraId="78B19E53" w14:textId="1FD1F175" w:rsidR="00D74028" w:rsidRDefault="00D74028" w:rsidP="0016448F">
      <w:pPr>
        <w:pStyle w:val="Paragraphedeliste"/>
        <w:ind w:left="0"/>
        <w:jc w:val="both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Une discussion s’est engagée autour de </w:t>
      </w:r>
      <w:r w:rsidR="00DC0CEA">
        <w:rPr>
          <w:rFonts w:ascii="Calibri" w:hAnsi="Calibri"/>
          <w:szCs w:val="21"/>
        </w:rPr>
        <w:t>l’idée d</w:t>
      </w:r>
      <w:r>
        <w:rPr>
          <w:rFonts w:ascii="Calibri" w:hAnsi="Calibri"/>
          <w:szCs w:val="21"/>
        </w:rPr>
        <w:t>’un consortium</w:t>
      </w:r>
      <w:r w:rsidR="00DC0CEA">
        <w:rPr>
          <w:rFonts w:ascii="Calibri" w:hAnsi="Calibri"/>
          <w:szCs w:val="21"/>
        </w:rPr>
        <w:t xml:space="preserve"> sur la résistance permettant de réfléchir à des projets de grande ampleur, </w:t>
      </w:r>
      <w:r w:rsidR="00A95EF2">
        <w:rPr>
          <w:rFonts w:ascii="Calibri" w:hAnsi="Calibri"/>
          <w:szCs w:val="21"/>
        </w:rPr>
        <w:t>ambitieux, à un niveau national, ainsi qu’</w:t>
      </w:r>
      <w:r w:rsidR="00DC0CEA">
        <w:rPr>
          <w:rFonts w:ascii="Calibri" w:hAnsi="Calibri"/>
          <w:szCs w:val="21"/>
        </w:rPr>
        <w:t>à une organisation/synergie dans la recherche de sources de financements (exemple des projets Interreg).  Ce genre de structuration existe au niveau européen (LIHRA) mais aboutit plus à des interactions de 2-3 équipes entre elles qu’à un regroupement massif. Selon Cédric Neveu, le GT RSFA est en soi une sorte de consortium.</w:t>
      </w:r>
      <w:r w:rsidR="00DC0CEA" w:rsidRPr="00DC0CEA">
        <w:rPr>
          <w:rFonts w:ascii="Calibri" w:hAnsi="Calibri"/>
          <w:szCs w:val="21"/>
        </w:rPr>
        <w:t xml:space="preserve"> </w:t>
      </w:r>
      <w:r w:rsidR="00A95EF2">
        <w:rPr>
          <w:rFonts w:ascii="Calibri" w:hAnsi="Calibri"/>
          <w:szCs w:val="21"/>
        </w:rPr>
        <w:t xml:space="preserve">Selon P. Jacquiet, l’élaboration de projets doit être efficace et simple et permettre de répondre à l’urgence sur le terrain. </w:t>
      </w:r>
      <w:r w:rsidR="00DC0CEA">
        <w:rPr>
          <w:rFonts w:ascii="Calibri" w:hAnsi="Calibri"/>
          <w:szCs w:val="21"/>
        </w:rPr>
        <w:t xml:space="preserve">L’idée </w:t>
      </w:r>
      <w:r w:rsidR="00A95EF2">
        <w:rPr>
          <w:rFonts w:ascii="Calibri" w:hAnsi="Calibri"/>
          <w:szCs w:val="21"/>
        </w:rPr>
        <w:t>de consortium</w:t>
      </w:r>
      <w:r w:rsidR="00370236">
        <w:rPr>
          <w:rFonts w:ascii="Calibri" w:hAnsi="Calibri"/>
          <w:szCs w:val="21"/>
        </w:rPr>
        <w:t xml:space="preserve"> </w:t>
      </w:r>
      <w:r w:rsidR="00DC0CEA">
        <w:rPr>
          <w:rFonts w:ascii="Calibri" w:hAnsi="Calibri"/>
          <w:szCs w:val="21"/>
        </w:rPr>
        <w:t xml:space="preserve">reste à </w:t>
      </w:r>
      <w:r w:rsidR="00A95EF2">
        <w:rPr>
          <w:rFonts w:ascii="Calibri" w:hAnsi="Calibri"/>
          <w:szCs w:val="21"/>
        </w:rPr>
        <w:t>faire maturer par le GT</w:t>
      </w:r>
      <w:r w:rsidR="00DC0CEA">
        <w:rPr>
          <w:rFonts w:ascii="Calibri" w:hAnsi="Calibri"/>
          <w:szCs w:val="21"/>
        </w:rPr>
        <w:t>.</w:t>
      </w:r>
    </w:p>
    <w:p w14:paraId="12ACBDBA" w14:textId="77777777" w:rsidR="00A95EF2" w:rsidRDefault="00A95EF2" w:rsidP="008F441F">
      <w:pPr>
        <w:pStyle w:val="Textebrut"/>
        <w:numPr>
          <w:ilvl w:val="0"/>
          <w:numId w:val="33"/>
        </w:numPr>
        <w:ind w:left="426"/>
        <w:rPr>
          <w:b/>
          <w:bCs/>
        </w:rPr>
      </w:pPr>
      <w:r>
        <w:rPr>
          <w:b/>
          <w:bCs/>
        </w:rPr>
        <w:t>Actualités sur les projets de recherche</w:t>
      </w:r>
    </w:p>
    <w:p w14:paraId="59869B78" w14:textId="39B91669" w:rsidR="00A95EF2" w:rsidRDefault="00A95EF2" w:rsidP="008F441F">
      <w:pPr>
        <w:pStyle w:val="Textebrut"/>
        <w:numPr>
          <w:ilvl w:val="1"/>
          <w:numId w:val="33"/>
        </w:numPr>
        <w:ind w:left="709"/>
        <w:rPr>
          <w:bCs/>
        </w:rPr>
      </w:pPr>
      <w:r w:rsidRPr="00A95EF2">
        <w:rPr>
          <w:bCs/>
        </w:rPr>
        <w:t xml:space="preserve">Projet DIAGRAM </w:t>
      </w:r>
      <w:r w:rsidR="00C531D2">
        <w:rPr>
          <w:bCs/>
        </w:rPr>
        <w:t xml:space="preserve">sur 2 ans </w:t>
      </w:r>
      <w:r w:rsidRPr="00A95EF2">
        <w:rPr>
          <w:bCs/>
        </w:rPr>
        <w:t>(C. Neveu)</w:t>
      </w:r>
      <w:r w:rsidR="00DE30D9">
        <w:rPr>
          <w:bCs/>
        </w:rPr>
        <w:t xml:space="preserve"> </w:t>
      </w:r>
      <w:proofErr w:type="spellStart"/>
      <w:r w:rsidR="00DE30D9">
        <w:rPr>
          <w:bCs/>
          <w:color w:val="00B050"/>
        </w:rPr>
        <w:t>P</w:t>
      </w:r>
      <w:r w:rsidR="00DE30D9" w:rsidRPr="00DE30D9">
        <w:rPr>
          <w:bCs/>
          <w:color w:val="00B050"/>
        </w:rPr>
        <w:t>eut on</w:t>
      </w:r>
      <w:proofErr w:type="spellEnd"/>
      <w:r w:rsidR="00DE30D9" w:rsidRPr="00DE30D9">
        <w:rPr>
          <w:bCs/>
          <w:color w:val="00B050"/>
        </w:rPr>
        <w:t xml:space="preserve"> joindre la présentation ?</w:t>
      </w:r>
    </w:p>
    <w:p w14:paraId="630A144D" w14:textId="138C2761" w:rsidR="00D27D7E" w:rsidRDefault="000835F0" w:rsidP="0016448F">
      <w:pPr>
        <w:pStyle w:val="Textebrut"/>
        <w:jc w:val="both"/>
      </w:pPr>
      <w:r>
        <w:t>Technologie basée sur l’</w:t>
      </w:r>
      <w:proofErr w:type="spellStart"/>
      <w:r>
        <w:t>autofluorescence</w:t>
      </w:r>
      <w:proofErr w:type="spellEnd"/>
      <w:r>
        <w:t xml:space="preserve"> des L3 et la mesure de leur migration en temps réel (procédé ALMA) permettant l’étude de la résistance des</w:t>
      </w:r>
      <w:r w:rsidR="00370236">
        <w:t xml:space="preserve"> nématodes et de </w:t>
      </w:r>
      <w:r>
        <w:t>l’efficacité des anthelminthiques (screening) </w:t>
      </w:r>
      <w:r w:rsidR="00370236">
        <w:t xml:space="preserve">chez les petits ruminants et les bovins </w:t>
      </w:r>
      <w:r>
        <w:t>; start-up partenaire (</w:t>
      </w:r>
      <w:proofErr w:type="spellStart"/>
      <w:r>
        <w:t>INVENsis</w:t>
      </w:r>
      <w:proofErr w:type="spellEnd"/>
      <w:r>
        <w:t>)</w:t>
      </w:r>
      <w:r w:rsidR="00370236">
        <w:t> ; possibilité d’un LDA à haut débit pour les BZD ; possibilité de copro automatisées</w:t>
      </w:r>
    </w:p>
    <w:p w14:paraId="5BFBD0CB" w14:textId="587B61D1" w:rsidR="000835F0" w:rsidRDefault="000835F0" w:rsidP="0016448F">
      <w:pPr>
        <w:pStyle w:val="Textebrut"/>
        <w:jc w:val="both"/>
      </w:pPr>
      <w:r>
        <w:t>Doit permettre à terme une détection à haut débit des populations résistantes (L3) permettant une activité de surveillance (potentialité pour une activité de référence ?)</w:t>
      </w:r>
    </w:p>
    <w:p w14:paraId="7EB74C50" w14:textId="788D9BFC" w:rsidR="00CC3906" w:rsidRDefault="00370236" w:rsidP="0016448F">
      <w:pPr>
        <w:pStyle w:val="Textebrut"/>
        <w:jc w:val="both"/>
      </w:pPr>
      <w:r w:rsidRPr="00370236">
        <w:rPr>
          <w:i/>
          <w:u w:val="single"/>
        </w:rPr>
        <w:t>Action du GT</w:t>
      </w:r>
      <w:r>
        <w:rPr>
          <w:i/>
        </w:rPr>
        <w:t xml:space="preserve"> : </w:t>
      </w:r>
      <w:r w:rsidR="000835F0" w:rsidRPr="00370236">
        <w:t>Le porteur du projet est en recherche de partenaires</w:t>
      </w:r>
      <w:r w:rsidR="002A187D">
        <w:t xml:space="preserve"> financiers en particulier</w:t>
      </w:r>
      <w:r w:rsidR="000835F0" w:rsidRPr="00370236">
        <w:t xml:space="preserve"> notamment au sein du GT RFSA</w:t>
      </w:r>
      <w:r w:rsidR="002A187D">
        <w:t xml:space="preserve"> (rôle possible du SIMV comme facilitateur</w:t>
      </w:r>
      <w:r w:rsidR="00DE30D9">
        <w:t xml:space="preserve"> : Voir synergie avec projet décrit au point 6 ,  partenariat avec INRAE et  journées de recherche en santé animale). </w:t>
      </w:r>
    </w:p>
    <w:p w14:paraId="1F737DCE" w14:textId="77777777" w:rsidR="008F441F" w:rsidRDefault="008F441F" w:rsidP="008F441F">
      <w:pPr>
        <w:pStyle w:val="Textebrut"/>
        <w:ind w:left="709"/>
      </w:pPr>
    </w:p>
    <w:p w14:paraId="434DDE37" w14:textId="25C99048" w:rsidR="00CC3906" w:rsidRDefault="00CC3906" w:rsidP="008F441F">
      <w:pPr>
        <w:pStyle w:val="Textebrut"/>
        <w:numPr>
          <w:ilvl w:val="1"/>
          <w:numId w:val="33"/>
        </w:numPr>
        <w:ind w:left="709"/>
      </w:pPr>
      <w:r>
        <w:t xml:space="preserve">Projet enquête résistance chez les bovins en Auvergne </w:t>
      </w:r>
      <w:r w:rsidR="00C531D2">
        <w:t xml:space="preserve">été 2021 </w:t>
      </w:r>
      <w:r>
        <w:t>(N. Ravinet)</w:t>
      </w:r>
      <w:r w:rsidR="00C531D2">
        <w:t xml:space="preserve"> </w:t>
      </w:r>
    </w:p>
    <w:p w14:paraId="2C6E0F59" w14:textId="2CAE068D" w:rsidR="00CC3906" w:rsidRDefault="00CC3906" w:rsidP="0016448F">
      <w:pPr>
        <w:pStyle w:val="Textebrut"/>
        <w:jc w:val="both"/>
      </w:pPr>
      <w:r>
        <w:t>Enquête dans 20 troupeaux bovins par FECRT + démarche de TCS par l’œil de l’éleveur : données scientifiques et techniques pour permettre une gestion par les vétérinaires praticiens</w:t>
      </w:r>
    </w:p>
    <w:p w14:paraId="2B3E2A56" w14:textId="77777777" w:rsidR="008F441F" w:rsidRDefault="008F441F" w:rsidP="008F441F">
      <w:pPr>
        <w:pStyle w:val="Textebrut"/>
        <w:ind w:left="709"/>
      </w:pPr>
    </w:p>
    <w:p w14:paraId="6949A3C0" w14:textId="77777777" w:rsidR="0016448F" w:rsidRDefault="00CC3906" w:rsidP="008F441F">
      <w:pPr>
        <w:pStyle w:val="Textebrut"/>
        <w:numPr>
          <w:ilvl w:val="1"/>
          <w:numId w:val="33"/>
        </w:numPr>
        <w:ind w:left="709"/>
      </w:pPr>
      <w:r>
        <w:t xml:space="preserve">Projet </w:t>
      </w:r>
      <w:r w:rsidRPr="00DE30D9">
        <w:t>ANTHERINE</w:t>
      </w:r>
      <w:r>
        <w:t> </w:t>
      </w:r>
      <w:r w:rsidR="00C531D2">
        <w:t xml:space="preserve">sur 3 ans </w:t>
      </w:r>
      <w:r>
        <w:t xml:space="preserve">(P. Jacquiet) : </w:t>
      </w:r>
    </w:p>
    <w:p w14:paraId="4A59DF77" w14:textId="75917BDC" w:rsidR="00B9752F" w:rsidRPr="00CC3906" w:rsidRDefault="00C531D2" w:rsidP="0016448F">
      <w:pPr>
        <w:pStyle w:val="Textebrut"/>
        <w:jc w:val="both"/>
      </w:pPr>
      <w:r>
        <w:t xml:space="preserve">30 élevages de brebis laitières Pays Basque/Aveyron, </w:t>
      </w:r>
      <w:r w:rsidR="00CC3906">
        <w:t>3 objectifs </w:t>
      </w:r>
      <w:r>
        <w:t xml:space="preserve">du projet </w:t>
      </w:r>
      <w:r w:rsidR="00CC3906">
        <w:t>: prévalence de la résistance à l’</w:t>
      </w:r>
      <w:proofErr w:type="spellStart"/>
      <w:r w:rsidR="00CC3906">
        <w:t>éprinomectine</w:t>
      </w:r>
      <w:proofErr w:type="spellEnd"/>
      <w:r>
        <w:t xml:space="preserve">, étude des mécanismes (C. elegans), évaluation des solutions de gestion dans 4 élevages (TCS : œil éleveur, âge, NEC ; génétique de l’hôte en </w:t>
      </w:r>
      <w:proofErr w:type="spellStart"/>
      <w:r>
        <w:t>Manech</w:t>
      </w:r>
      <w:proofErr w:type="spellEnd"/>
      <w:r>
        <w:t xml:space="preserve">, gestion du pâturage : rotations, </w:t>
      </w:r>
      <w:r w:rsidR="00B9752F">
        <w:t xml:space="preserve">pâturage </w:t>
      </w:r>
      <w:r>
        <w:t>mixte)</w:t>
      </w:r>
    </w:p>
    <w:p w14:paraId="4BA6D0CD" w14:textId="77777777" w:rsidR="00370236" w:rsidRPr="00A95EF2" w:rsidRDefault="00370236" w:rsidP="00A95EF2">
      <w:pPr>
        <w:pStyle w:val="Textebrut"/>
        <w:ind w:left="1440"/>
        <w:rPr>
          <w:bCs/>
        </w:rPr>
      </w:pPr>
    </w:p>
    <w:p w14:paraId="53043378" w14:textId="58C132E0" w:rsidR="00D27D7E" w:rsidRDefault="00B9752F" w:rsidP="008F441F">
      <w:pPr>
        <w:pStyle w:val="Textebrut"/>
        <w:numPr>
          <w:ilvl w:val="0"/>
          <w:numId w:val="33"/>
        </w:numPr>
        <w:ind w:left="284"/>
        <w:rPr>
          <w:b/>
          <w:bCs/>
          <w:lang w:eastAsia="fr-FR"/>
        </w:rPr>
      </w:pPr>
      <w:r>
        <w:rPr>
          <w:b/>
          <w:bCs/>
        </w:rPr>
        <w:t>Harmonisation des méthodes de détection des résistances (S. Vigneron, M.A. Barthelemy)</w:t>
      </w:r>
    </w:p>
    <w:p w14:paraId="27477310" w14:textId="251E32B8" w:rsidR="00425746" w:rsidRDefault="00425746" w:rsidP="0016448F">
      <w:pPr>
        <w:pStyle w:val="Textebrut"/>
        <w:jc w:val="both"/>
        <w:rPr>
          <w:bCs/>
        </w:rPr>
      </w:pPr>
      <w:r>
        <w:rPr>
          <w:bCs/>
        </w:rPr>
        <w:t>Le SIMV présente son projet visant à l’</w:t>
      </w:r>
      <w:r w:rsidRPr="00425746">
        <w:rPr>
          <w:bCs/>
        </w:rPr>
        <w:t>harmonisation des normes à respecter pour définir la résistance</w:t>
      </w:r>
      <w:r w:rsidR="007677BF">
        <w:rPr>
          <w:bCs/>
        </w:rPr>
        <w:t>.</w:t>
      </w:r>
      <w:r w:rsidRPr="00425746">
        <w:rPr>
          <w:bCs/>
        </w:rPr>
        <w:t xml:space="preserve"> </w:t>
      </w:r>
      <w:r w:rsidR="007677BF" w:rsidRPr="00425746">
        <w:rPr>
          <w:bCs/>
        </w:rPr>
        <w:t>Un</w:t>
      </w:r>
      <w:r w:rsidRPr="00425746">
        <w:rPr>
          <w:bCs/>
        </w:rPr>
        <w:t xml:space="preserve"> objectif à court terme pourrait être de proposer que les laboratoires départementaux d’analyse structurent leurs méthodes, avec notamment un consensus coprologie à obtenir (technique mac master pour petits ruminants et </w:t>
      </w:r>
      <w:proofErr w:type="spellStart"/>
      <w:r w:rsidRPr="00425746">
        <w:rPr>
          <w:bCs/>
        </w:rPr>
        <w:t>miniflotac</w:t>
      </w:r>
      <w:proofErr w:type="spellEnd"/>
      <w:r w:rsidRPr="00425746">
        <w:rPr>
          <w:bCs/>
        </w:rPr>
        <w:t xml:space="preserve"> pour Bovins) pour calculer la réduction de l’excrétion fécale. Cette méthode harmonisée permettrait d’interpréter les résultats sur une même base.</w:t>
      </w:r>
    </w:p>
    <w:p w14:paraId="28190254" w14:textId="77777777" w:rsidR="007677BF" w:rsidRDefault="007677BF" w:rsidP="0016448F">
      <w:pPr>
        <w:pStyle w:val="Textebrut"/>
        <w:jc w:val="both"/>
        <w:rPr>
          <w:bCs/>
        </w:rPr>
      </w:pPr>
    </w:p>
    <w:p w14:paraId="06C9AB8C" w14:textId="1D6383A9" w:rsidR="00B9752F" w:rsidRDefault="007677BF" w:rsidP="0016448F">
      <w:pPr>
        <w:pStyle w:val="Textebrut"/>
        <w:jc w:val="both"/>
        <w:rPr>
          <w:bCs/>
        </w:rPr>
      </w:pPr>
      <w:r>
        <w:rPr>
          <w:bCs/>
        </w:rPr>
        <w:t xml:space="preserve">Ce projet apparait se rapprocher de l’objectif du </w:t>
      </w:r>
      <w:r w:rsidR="002B187C">
        <w:rPr>
          <w:bCs/>
        </w:rPr>
        <w:t xml:space="preserve">GT AFNOR pour « normaliser » les techniques </w:t>
      </w:r>
      <w:proofErr w:type="spellStart"/>
      <w:r w:rsidR="002B187C">
        <w:rPr>
          <w:bCs/>
        </w:rPr>
        <w:t>coproscopiques</w:t>
      </w:r>
      <w:proofErr w:type="spellEnd"/>
      <w:r w:rsidR="002B187C">
        <w:rPr>
          <w:bCs/>
        </w:rPr>
        <w:t xml:space="preserve"> (T. Rambaud) </w:t>
      </w:r>
      <w:r w:rsidR="002B187C" w:rsidRPr="002B187C">
        <w:rPr>
          <w:bCs/>
          <w:highlight w:val="yellow"/>
        </w:rPr>
        <w:t xml:space="preserve">: </w:t>
      </w:r>
      <w:r>
        <w:rPr>
          <w:bCs/>
          <w:highlight w:val="yellow"/>
        </w:rPr>
        <w:t xml:space="preserve">merci de </w:t>
      </w:r>
      <w:r w:rsidR="002B187C" w:rsidRPr="002B187C">
        <w:rPr>
          <w:bCs/>
          <w:highlight w:val="yellow"/>
        </w:rPr>
        <w:t>développer</w:t>
      </w:r>
      <w:r w:rsidR="002B187C">
        <w:rPr>
          <w:bCs/>
        </w:rPr>
        <w:t xml:space="preserve">. </w:t>
      </w:r>
    </w:p>
    <w:p w14:paraId="54DD1959" w14:textId="495D5A71" w:rsidR="007677BF" w:rsidRDefault="007677BF" w:rsidP="0016448F">
      <w:pPr>
        <w:pStyle w:val="Textebrut"/>
        <w:jc w:val="both"/>
        <w:rPr>
          <w:bCs/>
        </w:rPr>
      </w:pPr>
      <w:r>
        <w:rPr>
          <w:bCs/>
        </w:rPr>
        <w:t xml:space="preserve">Il est recommandé que le SIMV intègre ce groupe. </w:t>
      </w:r>
    </w:p>
    <w:p w14:paraId="59BA49BD" w14:textId="77777777" w:rsidR="002B187C" w:rsidRDefault="002B187C" w:rsidP="00B9752F">
      <w:pPr>
        <w:pStyle w:val="Textebrut"/>
        <w:ind w:left="720"/>
        <w:rPr>
          <w:bCs/>
        </w:rPr>
      </w:pPr>
    </w:p>
    <w:p w14:paraId="6C952E8C" w14:textId="5B3C360A" w:rsidR="002B187C" w:rsidRPr="002B187C" w:rsidRDefault="002B187C" w:rsidP="008F441F">
      <w:pPr>
        <w:pStyle w:val="Textebrut"/>
        <w:numPr>
          <w:ilvl w:val="0"/>
          <w:numId w:val="33"/>
        </w:numPr>
        <w:ind w:left="284"/>
        <w:rPr>
          <w:b/>
          <w:bCs/>
          <w:lang w:eastAsia="fr-FR"/>
        </w:rPr>
      </w:pPr>
      <w:r w:rsidRPr="002B187C">
        <w:rPr>
          <w:b/>
          <w:bCs/>
        </w:rPr>
        <w:t>Points divers</w:t>
      </w:r>
    </w:p>
    <w:p w14:paraId="0C5CF848" w14:textId="6EE81351" w:rsidR="002B187C" w:rsidRDefault="002B187C" w:rsidP="0016448F">
      <w:pPr>
        <w:pStyle w:val="Textebrut"/>
        <w:rPr>
          <w:bCs/>
          <w:lang w:eastAsia="fr-FR"/>
        </w:rPr>
      </w:pPr>
      <w:r>
        <w:rPr>
          <w:bCs/>
          <w:lang w:eastAsia="fr-FR"/>
        </w:rPr>
        <w:lastRenderedPageBreak/>
        <w:t>Visites sanitaires en bovin et petits ruminants sur les API et APE. J. Devos rappelle que ces visites sanitaires ont pour finalité la sensibilisation des éleveurs à certaines thématiques et qu’en revanche l’intérêt d’un traitement statistique de ces données (portant sur 2 à 4% des questionnaires) n’a pas de valeur informative fiable (qualité des données faible).</w:t>
      </w:r>
    </w:p>
    <w:p w14:paraId="5839F280" w14:textId="01F9E5FB" w:rsidR="002B187C" w:rsidRDefault="002B187C" w:rsidP="0016448F">
      <w:pPr>
        <w:pStyle w:val="Textebrut"/>
        <w:rPr>
          <w:bCs/>
          <w:lang w:eastAsia="fr-FR"/>
        </w:rPr>
      </w:pPr>
    </w:p>
    <w:p w14:paraId="58A9BFDC" w14:textId="0DBE9F5F" w:rsidR="00523E33" w:rsidRDefault="002B187C" w:rsidP="0016448F">
      <w:pPr>
        <w:pStyle w:val="Textebrut"/>
        <w:rPr>
          <w:bCs/>
          <w:lang w:eastAsia="fr-FR"/>
        </w:rPr>
      </w:pPr>
      <w:r>
        <w:rPr>
          <w:bCs/>
          <w:lang w:eastAsia="fr-FR"/>
        </w:rPr>
        <w:t>Un doodle va circuler pour une prochaine réunion du GT en octobre 2021.</w:t>
      </w:r>
    </w:p>
    <w:p w14:paraId="64F4C318" w14:textId="1CED69C8" w:rsidR="007677BF" w:rsidRDefault="007677BF" w:rsidP="0016448F">
      <w:pPr>
        <w:pStyle w:val="Textebrut"/>
        <w:rPr>
          <w:bCs/>
          <w:lang w:eastAsia="fr-FR"/>
        </w:rPr>
      </w:pPr>
    </w:p>
    <w:p w14:paraId="5AFFCD02" w14:textId="601510BF" w:rsidR="007677BF" w:rsidRPr="00CF1BD9" w:rsidRDefault="007677BF" w:rsidP="0016448F">
      <w:pPr>
        <w:pStyle w:val="Textebrut"/>
        <w:rPr>
          <w:rFonts w:eastAsia="Times New Roman" w:cs="Times New Roman"/>
          <w:b/>
          <w:bCs/>
          <w:color w:val="000000" w:themeColor="text1"/>
          <w:sz w:val="20"/>
          <w:szCs w:val="20"/>
          <w:lang w:eastAsia="fr-FR"/>
        </w:rPr>
      </w:pPr>
      <w:r>
        <w:rPr>
          <w:bCs/>
          <w:lang w:eastAsia="fr-FR"/>
        </w:rPr>
        <w:t xml:space="preserve">Rappel de la présentation RFSA résistance et pharmacovigilance aux JNGTV à Tours le 22 octobre ,( horaire à préciser.. </w:t>
      </w:r>
      <w:r w:rsidR="008763EA">
        <w:rPr>
          <w:bCs/>
          <w:lang w:eastAsia="fr-FR"/>
        </w:rPr>
        <w:t>Initialement</w:t>
      </w:r>
      <w:r>
        <w:rPr>
          <w:bCs/>
          <w:lang w:eastAsia="fr-FR"/>
        </w:rPr>
        <w:t xml:space="preserve"> 12h à 12h30)</w:t>
      </w:r>
    </w:p>
    <w:sectPr w:rsidR="007677BF" w:rsidRPr="00CF1BD9" w:rsidSect="008F441F">
      <w:headerReference w:type="default" r:id="rId8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350C" w14:textId="77777777" w:rsidR="002B7C89" w:rsidRDefault="002B7C89" w:rsidP="008F441F">
      <w:pPr>
        <w:spacing w:after="0" w:line="240" w:lineRule="auto"/>
      </w:pPr>
      <w:r>
        <w:separator/>
      </w:r>
    </w:p>
  </w:endnote>
  <w:endnote w:type="continuationSeparator" w:id="0">
    <w:p w14:paraId="30CC168A" w14:textId="77777777" w:rsidR="002B7C89" w:rsidRDefault="002B7C89" w:rsidP="008F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7045" w14:textId="77777777" w:rsidR="002B7C89" w:rsidRDefault="002B7C89" w:rsidP="008F441F">
      <w:pPr>
        <w:spacing w:after="0" w:line="240" w:lineRule="auto"/>
      </w:pPr>
      <w:r>
        <w:separator/>
      </w:r>
    </w:p>
  </w:footnote>
  <w:footnote w:type="continuationSeparator" w:id="0">
    <w:p w14:paraId="56C0862D" w14:textId="77777777" w:rsidR="002B7C89" w:rsidRDefault="002B7C89" w:rsidP="008F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ACFF" w14:textId="35181AD0" w:rsidR="008F441F" w:rsidRDefault="008F441F">
    <w:pPr>
      <w:pStyle w:val="En-tte"/>
    </w:pPr>
    <w:r w:rsidRPr="00CF1BD9">
      <w:rPr>
        <w:rFonts w:eastAsia="Times New Roman" w:cs="Times New Roman"/>
        <w:noProof/>
        <w:color w:val="000000" w:themeColor="text1"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78C96E98" wp14:editId="7B110ACE">
          <wp:simplePos x="0" y="0"/>
          <wp:positionH relativeFrom="margin">
            <wp:align>left</wp:align>
          </wp:positionH>
          <wp:positionV relativeFrom="paragraph">
            <wp:posOffset>-327314</wp:posOffset>
          </wp:positionV>
          <wp:extent cx="1882140" cy="862965"/>
          <wp:effectExtent l="0" t="0" r="3810" b="0"/>
          <wp:wrapSquare wrapText="bothSides"/>
          <wp:docPr id="1" name="Image 1" descr="X:\RFSA-EXTRANET\images\logo_159895_color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RFSA-EXTRANET\images\logo_159895_color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31ED"/>
    <w:multiLevelType w:val="hybridMultilevel"/>
    <w:tmpl w:val="213EB13A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73E2184"/>
    <w:multiLevelType w:val="hybridMultilevel"/>
    <w:tmpl w:val="C06C7F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3DEC4C37"/>
    <w:multiLevelType w:val="hybridMultilevel"/>
    <w:tmpl w:val="408EF002"/>
    <w:lvl w:ilvl="0" w:tplc="040C0017">
      <w:start w:val="1"/>
      <w:numFmt w:val="lowerLetter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F5F3C"/>
    <w:multiLevelType w:val="hybridMultilevel"/>
    <w:tmpl w:val="44502E14"/>
    <w:lvl w:ilvl="0" w:tplc="1760049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0932BFD"/>
    <w:multiLevelType w:val="hybridMultilevel"/>
    <w:tmpl w:val="0E4E481E"/>
    <w:lvl w:ilvl="0" w:tplc="EEEEA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967EE1"/>
    <w:multiLevelType w:val="hybridMultilevel"/>
    <w:tmpl w:val="CF7AF7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D617446"/>
    <w:multiLevelType w:val="hybridMultilevel"/>
    <w:tmpl w:val="C91A995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7"/>
  </w:num>
  <w:num w:numId="5">
    <w:abstractNumId w:val="10"/>
  </w:num>
  <w:num w:numId="6">
    <w:abstractNumId w:val="11"/>
  </w:num>
  <w:num w:numId="7">
    <w:abstractNumId w:val="18"/>
  </w:num>
  <w:num w:numId="8">
    <w:abstractNumId w:val="22"/>
  </w:num>
  <w:num w:numId="9">
    <w:abstractNumId w:val="19"/>
  </w:num>
  <w:num w:numId="10">
    <w:abstractNumId w:val="12"/>
  </w:num>
  <w:num w:numId="11">
    <w:abstractNumId w:val="13"/>
  </w:num>
  <w:num w:numId="12">
    <w:abstractNumId w:val="0"/>
  </w:num>
  <w:num w:numId="13">
    <w:abstractNumId w:val="36"/>
  </w:num>
  <w:num w:numId="14">
    <w:abstractNumId w:val="28"/>
  </w:num>
  <w:num w:numId="15">
    <w:abstractNumId w:val="5"/>
  </w:num>
  <w:num w:numId="16">
    <w:abstractNumId w:val="35"/>
  </w:num>
  <w:num w:numId="17">
    <w:abstractNumId w:val="24"/>
  </w:num>
  <w:num w:numId="18">
    <w:abstractNumId w:val="27"/>
  </w:num>
  <w:num w:numId="19">
    <w:abstractNumId w:val="25"/>
  </w:num>
  <w:num w:numId="20">
    <w:abstractNumId w:val="3"/>
  </w:num>
  <w:num w:numId="21">
    <w:abstractNumId w:val="30"/>
  </w:num>
  <w:num w:numId="22">
    <w:abstractNumId w:val="4"/>
  </w:num>
  <w:num w:numId="23">
    <w:abstractNumId w:val="6"/>
  </w:num>
  <w:num w:numId="24">
    <w:abstractNumId w:val="9"/>
  </w:num>
  <w:num w:numId="25">
    <w:abstractNumId w:val="17"/>
  </w:num>
  <w:num w:numId="26">
    <w:abstractNumId w:val="2"/>
  </w:num>
  <w:num w:numId="27">
    <w:abstractNumId w:val="33"/>
  </w:num>
  <w:num w:numId="28">
    <w:abstractNumId w:val="15"/>
  </w:num>
  <w:num w:numId="29">
    <w:abstractNumId w:val="20"/>
  </w:num>
  <w:num w:numId="30">
    <w:abstractNumId w:val="29"/>
  </w:num>
  <w:num w:numId="31">
    <w:abstractNumId w:val="32"/>
  </w:num>
  <w:num w:numId="32">
    <w:abstractNumId w:val="23"/>
  </w:num>
  <w:num w:numId="33">
    <w:abstractNumId w:val="14"/>
  </w:num>
  <w:num w:numId="34">
    <w:abstractNumId w:val="31"/>
  </w:num>
  <w:num w:numId="35">
    <w:abstractNumId w:val="26"/>
  </w:num>
  <w:num w:numId="36">
    <w:abstractNumId w:val="3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048"/>
    <w:rsid w:val="00004836"/>
    <w:rsid w:val="00026ED0"/>
    <w:rsid w:val="00046AFF"/>
    <w:rsid w:val="00063743"/>
    <w:rsid w:val="000835F0"/>
    <w:rsid w:val="00083825"/>
    <w:rsid w:val="00094637"/>
    <w:rsid w:val="000A5706"/>
    <w:rsid w:val="000B5507"/>
    <w:rsid w:val="000D436A"/>
    <w:rsid w:val="000E23F0"/>
    <w:rsid w:val="000E2E90"/>
    <w:rsid w:val="000E3DA8"/>
    <w:rsid w:val="000E402C"/>
    <w:rsid w:val="000E65C1"/>
    <w:rsid w:val="00117DDB"/>
    <w:rsid w:val="00121E05"/>
    <w:rsid w:val="00122A06"/>
    <w:rsid w:val="00125173"/>
    <w:rsid w:val="00134794"/>
    <w:rsid w:val="0013565A"/>
    <w:rsid w:val="0014321C"/>
    <w:rsid w:val="001449D6"/>
    <w:rsid w:val="001610EA"/>
    <w:rsid w:val="0016448F"/>
    <w:rsid w:val="001938F0"/>
    <w:rsid w:val="001A23F2"/>
    <w:rsid w:val="001A3A36"/>
    <w:rsid w:val="001B0EDB"/>
    <w:rsid w:val="001D2963"/>
    <w:rsid w:val="001D48EE"/>
    <w:rsid w:val="001E02D5"/>
    <w:rsid w:val="001E0FC5"/>
    <w:rsid w:val="001E3853"/>
    <w:rsid w:val="001F2238"/>
    <w:rsid w:val="001F42BC"/>
    <w:rsid w:val="00200A10"/>
    <w:rsid w:val="00203A83"/>
    <w:rsid w:val="00233E33"/>
    <w:rsid w:val="002464A4"/>
    <w:rsid w:val="00263AE2"/>
    <w:rsid w:val="00274E7C"/>
    <w:rsid w:val="00276D0D"/>
    <w:rsid w:val="0028534C"/>
    <w:rsid w:val="002A187D"/>
    <w:rsid w:val="002A2968"/>
    <w:rsid w:val="002B187C"/>
    <w:rsid w:val="002B799F"/>
    <w:rsid w:val="002B7C89"/>
    <w:rsid w:val="002C0C54"/>
    <w:rsid w:val="002E0C34"/>
    <w:rsid w:val="002E212E"/>
    <w:rsid w:val="002E7C2D"/>
    <w:rsid w:val="002F10EE"/>
    <w:rsid w:val="00326DCE"/>
    <w:rsid w:val="00343912"/>
    <w:rsid w:val="00346DD9"/>
    <w:rsid w:val="003512E3"/>
    <w:rsid w:val="0036315D"/>
    <w:rsid w:val="00370236"/>
    <w:rsid w:val="003871A6"/>
    <w:rsid w:val="003D386F"/>
    <w:rsid w:val="003E4856"/>
    <w:rsid w:val="003F26FC"/>
    <w:rsid w:val="00425746"/>
    <w:rsid w:val="00426B87"/>
    <w:rsid w:val="00435799"/>
    <w:rsid w:val="00444E4F"/>
    <w:rsid w:val="00485B5F"/>
    <w:rsid w:val="004922A1"/>
    <w:rsid w:val="0049627D"/>
    <w:rsid w:val="004B20BA"/>
    <w:rsid w:val="004C6E16"/>
    <w:rsid w:val="004E5140"/>
    <w:rsid w:val="004F5418"/>
    <w:rsid w:val="005104FF"/>
    <w:rsid w:val="0051576D"/>
    <w:rsid w:val="00523E33"/>
    <w:rsid w:val="00524CD0"/>
    <w:rsid w:val="005718DE"/>
    <w:rsid w:val="00572595"/>
    <w:rsid w:val="005742BE"/>
    <w:rsid w:val="00575AEA"/>
    <w:rsid w:val="00580969"/>
    <w:rsid w:val="005858CC"/>
    <w:rsid w:val="0058708A"/>
    <w:rsid w:val="005C6EFB"/>
    <w:rsid w:val="005F2A88"/>
    <w:rsid w:val="00614EDB"/>
    <w:rsid w:val="00667506"/>
    <w:rsid w:val="006728A3"/>
    <w:rsid w:val="00693367"/>
    <w:rsid w:val="00695230"/>
    <w:rsid w:val="006C1B87"/>
    <w:rsid w:val="006C25EE"/>
    <w:rsid w:val="006D4510"/>
    <w:rsid w:val="006E028C"/>
    <w:rsid w:val="006F3F62"/>
    <w:rsid w:val="006F484D"/>
    <w:rsid w:val="006F5531"/>
    <w:rsid w:val="00701DB1"/>
    <w:rsid w:val="007134D8"/>
    <w:rsid w:val="007157E3"/>
    <w:rsid w:val="00720078"/>
    <w:rsid w:val="007677BF"/>
    <w:rsid w:val="007A4CFD"/>
    <w:rsid w:val="007B5866"/>
    <w:rsid w:val="007F2B8A"/>
    <w:rsid w:val="007F5589"/>
    <w:rsid w:val="007F5CEA"/>
    <w:rsid w:val="008005F0"/>
    <w:rsid w:val="008075C7"/>
    <w:rsid w:val="00817457"/>
    <w:rsid w:val="00845099"/>
    <w:rsid w:val="008663C7"/>
    <w:rsid w:val="00873CC9"/>
    <w:rsid w:val="008763EA"/>
    <w:rsid w:val="00890C9A"/>
    <w:rsid w:val="008A21B9"/>
    <w:rsid w:val="008C75C6"/>
    <w:rsid w:val="008D772C"/>
    <w:rsid w:val="008E1C10"/>
    <w:rsid w:val="008F441F"/>
    <w:rsid w:val="009032EF"/>
    <w:rsid w:val="00911AAD"/>
    <w:rsid w:val="0094425C"/>
    <w:rsid w:val="00950993"/>
    <w:rsid w:val="009B14D0"/>
    <w:rsid w:val="009B6CEC"/>
    <w:rsid w:val="009C3F3F"/>
    <w:rsid w:val="009C6FE9"/>
    <w:rsid w:val="009E121E"/>
    <w:rsid w:val="009E6EE6"/>
    <w:rsid w:val="009E748F"/>
    <w:rsid w:val="00A44B2F"/>
    <w:rsid w:val="00A60FA3"/>
    <w:rsid w:val="00A747A5"/>
    <w:rsid w:val="00A86430"/>
    <w:rsid w:val="00A95EF2"/>
    <w:rsid w:val="00AB3A74"/>
    <w:rsid w:val="00AC3A68"/>
    <w:rsid w:val="00AD4BE1"/>
    <w:rsid w:val="00AE7163"/>
    <w:rsid w:val="00AF008A"/>
    <w:rsid w:val="00AF1D0F"/>
    <w:rsid w:val="00B13AB1"/>
    <w:rsid w:val="00B25DCB"/>
    <w:rsid w:val="00B70A0D"/>
    <w:rsid w:val="00B9752F"/>
    <w:rsid w:val="00BA359A"/>
    <w:rsid w:val="00BB4938"/>
    <w:rsid w:val="00BD57D1"/>
    <w:rsid w:val="00BE1E76"/>
    <w:rsid w:val="00BF40C3"/>
    <w:rsid w:val="00C01EBA"/>
    <w:rsid w:val="00C03009"/>
    <w:rsid w:val="00C0425A"/>
    <w:rsid w:val="00C04FD1"/>
    <w:rsid w:val="00C133AC"/>
    <w:rsid w:val="00C47372"/>
    <w:rsid w:val="00C531D2"/>
    <w:rsid w:val="00C80C04"/>
    <w:rsid w:val="00C8130A"/>
    <w:rsid w:val="00C87250"/>
    <w:rsid w:val="00CC3906"/>
    <w:rsid w:val="00CD7308"/>
    <w:rsid w:val="00CF1BD9"/>
    <w:rsid w:val="00CF65C0"/>
    <w:rsid w:val="00D1453A"/>
    <w:rsid w:val="00D27D7E"/>
    <w:rsid w:val="00D31160"/>
    <w:rsid w:val="00D37913"/>
    <w:rsid w:val="00D53D8E"/>
    <w:rsid w:val="00D556BC"/>
    <w:rsid w:val="00D62476"/>
    <w:rsid w:val="00D74028"/>
    <w:rsid w:val="00D822E7"/>
    <w:rsid w:val="00D82D6B"/>
    <w:rsid w:val="00D92306"/>
    <w:rsid w:val="00D92EAD"/>
    <w:rsid w:val="00D9533A"/>
    <w:rsid w:val="00DA4048"/>
    <w:rsid w:val="00DC0CEA"/>
    <w:rsid w:val="00DC7C10"/>
    <w:rsid w:val="00DD23BA"/>
    <w:rsid w:val="00DE30D9"/>
    <w:rsid w:val="00DF43D4"/>
    <w:rsid w:val="00DF7E57"/>
    <w:rsid w:val="00E16E1A"/>
    <w:rsid w:val="00E20129"/>
    <w:rsid w:val="00E42963"/>
    <w:rsid w:val="00E979A6"/>
    <w:rsid w:val="00EB6752"/>
    <w:rsid w:val="00EC0184"/>
    <w:rsid w:val="00EC1AA1"/>
    <w:rsid w:val="00EC7DD8"/>
    <w:rsid w:val="00F11099"/>
    <w:rsid w:val="00F16DF8"/>
    <w:rsid w:val="00F21550"/>
    <w:rsid w:val="00F25B17"/>
    <w:rsid w:val="00F379FE"/>
    <w:rsid w:val="00F37CC6"/>
    <w:rsid w:val="00F4750F"/>
    <w:rsid w:val="00F623E1"/>
    <w:rsid w:val="00F67BBE"/>
    <w:rsid w:val="00F82A69"/>
    <w:rsid w:val="00F8443E"/>
    <w:rsid w:val="00F9172C"/>
    <w:rsid w:val="00FA67FC"/>
    <w:rsid w:val="00FB04C8"/>
    <w:rsid w:val="00FB1ADD"/>
    <w:rsid w:val="00FB2883"/>
    <w:rsid w:val="00FC282D"/>
    <w:rsid w:val="00FD0057"/>
    <w:rsid w:val="00FE222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66029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523E3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D82D6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82D6B"/>
    <w:rPr>
      <w:rFonts w:ascii="Calibri" w:hAnsi="Calibri"/>
      <w:szCs w:val="21"/>
    </w:rPr>
  </w:style>
  <w:style w:type="character" w:styleId="Accentuation">
    <w:name w:val="Emphasis"/>
    <w:basedOn w:val="Policepardfaut"/>
    <w:uiPriority w:val="20"/>
    <w:qFormat/>
    <w:rsid w:val="00D27D7E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C473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73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73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3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7372"/>
    <w:rPr>
      <w:b/>
      <w:bCs/>
      <w:sz w:val="20"/>
      <w:szCs w:val="20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C8725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F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41F"/>
  </w:style>
  <w:style w:type="paragraph" w:styleId="Pieddepage">
    <w:name w:val="footer"/>
    <w:basedOn w:val="Normal"/>
    <w:link w:val="PieddepageCar"/>
    <w:uiPriority w:val="99"/>
    <w:unhideWhenUsed/>
    <w:rsid w:val="008F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41F"/>
  </w:style>
  <w:style w:type="character" w:styleId="Mentionnonrsolue">
    <w:name w:val="Unresolved Mention"/>
    <w:basedOn w:val="Policepardfaut"/>
    <w:uiPriority w:val="99"/>
    <w:semiHidden/>
    <w:unhideWhenUsed/>
    <w:rsid w:val="00FB1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seau-francais-sante-animale.net/wp-content/uploads/2021/05/Feuille-de-presence-reunion-_25-juin-20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Marie-Claire SANTAROSALIA</cp:lastModifiedBy>
  <cp:revision>3</cp:revision>
  <cp:lastPrinted>2016-05-18T15:04:00Z</cp:lastPrinted>
  <dcterms:created xsi:type="dcterms:W3CDTF">2021-10-12T04:49:00Z</dcterms:created>
  <dcterms:modified xsi:type="dcterms:W3CDTF">2021-10-16T14:09:00Z</dcterms:modified>
</cp:coreProperties>
</file>