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10ADCF36" w:rsidR="00FB15D8" w:rsidRPr="00FB15D8" w:rsidRDefault="00FB15D8" w:rsidP="00FB15D8">
      <w:pPr>
        <w:spacing w:after="0" w:line="240" w:lineRule="auto"/>
        <w:rPr>
          <w:color w:val="0070C0"/>
        </w:rPr>
      </w:pPr>
      <w:r w:rsidRPr="00FB15D8">
        <w:rPr>
          <w:color w:val="0070C0"/>
        </w:rPr>
        <w:t xml:space="preserve">Adoption du dernier </w:t>
      </w:r>
      <w:hyperlink r:id="rId8" w:history="1">
        <w:r w:rsidRPr="007B7D68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EcoAntibio</w:t>
      </w:r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7E48F9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EcoAntibio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5F07E21D" w:rsidR="005C60B8" w:rsidRDefault="005C60B8" w:rsidP="004D6617">
      <w:pPr>
        <w:pStyle w:val="Paragraphedeliste"/>
        <w:numPr>
          <w:ilvl w:val="0"/>
          <w:numId w:val="42"/>
        </w:numPr>
        <w:spacing w:after="0" w:line="240" w:lineRule="auto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 xml:space="preserve">x 2018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01D26C5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Méthodologie</w:t>
      </w:r>
    </w:p>
    <w:p w14:paraId="0093552C" w14:textId="1389A6E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Liste des projets retenus</w:t>
      </w:r>
    </w:p>
    <w:p w14:paraId="22D4EB99" w14:textId="5CE205D0" w:rsidR="00AB7EB2" w:rsidRPr="005C60B8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582CCE7A" w:rsidR="008A21B9" w:rsidRPr="00E352D9" w:rsidRDefault="008A21B9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D670C1">
        <w:rPr>
          <w:rFonts w:cs="Arial"/>
          <w:b/>
          <w:color w:val="000000" w:themeColor="text1"/>
        </w:rPr>
        <w:t>GT 1 disponibilité</w:t>
      </w:r>
      <w:r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hyperlink r:id="rId10" w:history="1">
        <w:r>
          <w:rPr>
            <w:rStyle w:val="Lienhypertexte"/>
          </w:rPr>
          <w:t>Gaps thérapeutiques </w:t>
        </w:r>
      </w:hyperlink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77777777" w:rsidR="008B3BC6" w:rsidRDefault="007E48F9" w:rsidP="008B3BC6">
      <w:pPr>
        <w:numPr>
          <w:ilvl w:val="0"/>
          <w:numId w:val="45"/>
        </w:numPr>
        <w:spacing w:after="0" w:line="240" w:lineRule="auto"/>
        <w:jc w:val="both"/>
      </w:pPr>
      <w:hyperlink r:id="rId11" w:history="1">
        <w:r w:rsidR="008B3BC6">
          <w:rPr>
            <w:rStyle w:val="Lienhypertexte"/>
          </w:rPr>
          <w:t>Ruptures de stocks</w:t>
        </w:r>
      </w:hyperlink>
      <w:r w:rsidR="008B3BC6">
        <w:rPr>
          <w:color w:val="0070C0"/>
        </w:rPr>
        <w:t xml:space="preserve"> : </w:t>
      </w:r>
      <w:r w:rsidR="008B3BC6">
        <w:t>mise en œuvre du guide de bonnes pratiques de gestion des ruptures et actualités des travaux européens</w:t>
      </w:r>
    </w:p>
    <w:p w14:paraId="63AA0B5A" w14:textId="77777777" w:rsidR="008B3BC6" w:rsidRDefault="007E48F9" w:rsidP="008B3BC6">
      <w:pPr>
        <w:numPr>
          <w:ilvl w:val="0"/>
          <w:numId w:val="45"/>
        </w:numPr>
        <w:spacing w:after="0" w:line="240" w:lineRule="auto"/>
      </w:pPr>
      <w:hyperlink r:id="rId12" w:history="1">
        <w:r w:rsidR="008B3BC6">
          <w:rPr>
            <w:rStyle w:val="Lienhypertexte"/>
          </w:rPr>
          <w:t>Médicaments à base de plantes </w:t>
        </w:r>
      </w:hyperlink>
      <w:r w:rsidR="008B3BC6">
        <w:rPr>
          <w:color w:val="0070C0"/>
        </w:rPr>
        <w:t xml:space="preserve">: </w:t>
      </w:r>
      <w:r w:rsidR="008B3BC6"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>
        <w:rPr>
          <w:rStyle w:val="Lienhypertexte"/>
        </w:rPr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3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77777777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4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</w:p>
    <w:p w14:paraId="66187D86" w14:textId="1CD5E0DE" w:rsidR="00C51F48" w:rsidRDefault="007E48F9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5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6D5778A8" w:rsidR="00B20573" w:rsidRPr="007414FF" w:rsidRDefault="00091F93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 xml:space="preserve">Présentation de </w:t>
      </w:r>
      <w:r w:rsidR="00EB6753" w:rsidRPr="007414FF">
        <w:rPr>
          <w:rStyle w:val="Lienhypertexte"/>
          <w:color w:val="auto"/>
          <w:u w:val="none"/>
          <w:lang w:eastAsia="fr-FR"/>
        </w:rPr>
        <w:t>Jennifer Richardson</w:t>
      </w:r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E14DCE6" w:rsidR="00CA176D" w:rsidRDefault="007E48F9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16" w:history="1">
        <w:r w:rsidR="00DD70CC" w:rsidRPr="00034F8D">
          <w:rPr>
            <w:rStyle w:val="Lienhypertexte"/>
            <w:rFonts w:eastAsia="Times New Roman"/>
          </w:rPr>
          <w:t xml:space="preserve">Resa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>: Bilan de l’appel à projets</w:t>
      </w:r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7E48F9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17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7E48F9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18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p w14:paraId="5C09D98F" w14:textId="312EA952" w:rsidR="007E48F9" w:rsidRPr="00AE40A0" w:rsidRDefault="007E48F9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/>
        </w:rPr>
        <w:t>Restitution des travaux du groupe Tuberculose bovine</w:t>
      </w:r>
      <w:bookmarkStart w:id="0" w:name="_GoBack"/>
      <w:bookmarkEnd w:id="0"/>
    </w:p>
    <w:sectPr w:rsidR="007E48F9" w:rsidRPr="00AE40A0" w:rsidSect="00FD0057">
      <w:footerReference w:type="default" r:id="rId19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70A7"/>
    <w:rsid w:val="009153F9"/>
    <w:rsid w:val="00946275"/>
    <w:rsid w:val="00951E30"/>
    <w:rsid w:val="00953D75"/>
    <w:rsid w:val="009725B3"/>
    <w:rsid w:val="00972D08"/>
    <w:rsid w:val="009A1E65"/>
    <w:rsid w:val="009B14D0"/>
    <w:rsid w:val="009B30D9"/>
    <w:rsid w:val="009B4793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52D9"/>
    <w:rsid w:val="00E3662B"/>
    <w:rsid w:val="00E47393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ODJ-Copil-RFSA-7-mars-2019-3.docx" TargetMode="External"/><Relationship Id="rId13" Type="http://schemas.openxmlformats.org/officeDocument/2006/relationships/hyperlink" Target="https://www.reseau-francais-sante-animale.net/groupe/dermatose-nodulaire-contagieuse-dnc/" TargetMode="External"/><Relationship Id="rId18" Type="http://schemas.openxmlformats.org/officeDocument/2006/relationships/hyperlink" Target="http://www.reseau-francais-sante-animale.net/wp-content/uploads/2017/10/GT-diagnostic-rapide-RFSA-8122017-1.pp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9/02/COPIL-RFSA-07032019-ANMV_pr%C3%A9sentation-GT1-Disponibilit%C3%A9_M%C3%A9dicaments-%C3%A0-base-de-plantes.pptx" TargetMode="External"/><Relationship Id="rId17" Type="http://schemas.openxmlformats.org/officeDocument/2006/relationships/hyperlink" Target="https://www.reseau-francais-sante-animale.net/groupe/resistance-au-antiparasitair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fit-event.com/hosted-events/rd-dating-for-animal-health-and-innovat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2/07032019-ANMV_pr%C3%A9sentation-GT1-Disponibilit%C3%A9_Ruptures-de-stocks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eau-francais-sante-animale.net/wp-content/uploads/2019/05/CR_GT_PPA-4juin-2019-VF.docx" TargetMode="External"/><Relationship Id="rId10" Type="http://schemas.openxmlformats.org/officeDocument/2006/relationships/hyperlink" Target="http://www.reseau-francais-sante-animale.net/wp-content/uploads/2019/02/07032019-ANMV_pr%C3%A9sentation-GT1-Disponibilit%C3%A9_gaps-th%C3%A9rapeutiques-1.ppt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s://www.reseau-francais-sante-animale.net/groupe/peste-porcine-africai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4</cp:revision>
  <cp:lastPrinted>2019-09-12T14:55:00Z</cp:lastPrinted>
  <dcterms:created xsi:type="dcterms:W3CDTF">2019-09-17T08:02:00Z</dcterms:created>
  <dcterms:modified xsi:type="dcterms:W3CDTF">2019-09-26T07:07:00Z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