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1ED" w:rsidRPr="005261ED" w:rsidRDefault="005261ED" w:rsidP="005261ED">
      <w:pPr>
        <w:pStyle w:val="Titre"/>
        <w:rPr>
          <w:b/>
          <w:i/>
          <w:color w:val="1F497D"/>
          <w:sz w:val="72"/>
        </w:rPr>
      </w:pPr>
      <w:r>
        <w:rPr>
          <w:b/>
          <w:color w:val="1F497D"/>
          <w:sz w:val="36"/>
        </w:rPr>
        <w:t xml:space="preserve">Compte </w:t>
      </w:r>
      <w:r w:rsidRPr="00511408">
        <w:rPr>
          <w:b/>
          <w:color w:val="1F497D"/>
          <w:sz w:val="36"/>
        </w:rPr>
        <w:t>rendu</w:t>
      </w:r>
      <w:r>
        <w:rPr>
          <w:b/>
          <w:color w:val="1F497D"/>
          <w:sz w:val="36"/>
        </w:rPr>
        <w:t xml:space="preserve"> de la réunion du 3 mai 2018 du  GT RFSA « Réactifs rapides » </w:t>
      </w:r>
      <w:r w:rsidRPr="00922BEE">
        <w:rPr>
          <w:b/>
          <w:color w:val="1F497D"/>
          <w:sz w:val="36"/>
        </w:rPr>
        <w:tab/>
      </w:r>
      <w:r w:rsidRPr="00922BEE">
        <w:rPr>
          <w:b/>
          <w:color w:val="1F497D"/>
          <w:sz w:val="36"/>
        </w:rPr>
        <w:tab/>
      </w:r>
    </w:p>
    <w:p w:rsidR="00E23640" w:rsidRDefault="00E23640"/>
    <w:p w:rsidR="00891FC4" w:rsidRDefault="00891FC4">
      <w:r w:rsidRPr="00891FC4">
        <w:t>Participants</w:t>
      </w:r>
      <w:r w:rsidR="00C44C93">
        <w:t xml:space="preserve"> : </w:t>
      </w:r>
      <w:r>
        <w:t>Marie Anne BARTHELEMY (SIMV), Béatrice BLANCHARD (SIMV/ Adiagène),</w:t>
      </w:r>
      <w:r w:rsidR="00B60AEC">
        <w:t xml:space="preserve"> Virginie CATINOT (Allice /LNCR</w:t>
      </w:r>
      <w:bookmarkStart w:id="0" w:name="_GoBack"/>
      <w:bookmarkEnd w:id="0"/>
      <w:r>
        <w:t xml:space="preserve">),  </w:t>
      </w:r>
      <w:r w:rsidRPr="00891FC4">
        <w:t>Serge LETERME (SIMV/IDEXX)</w:t>
      </w:r>
      <w:r>
        <w:t xml:space="preserve">, </w:t>
      </w:r>
      <w:r w:rsidRPr="00891FC4">
        <w:t>Claire MILARD (ADILVA), Astrid MOUTON (SIMV/Thermo Fisher Scien</w:t>
      </w:r>
      <w:r>
        <w:t>tific</w:t>
      </w:r>
      <w:r w:rsidRPr="00891FC4">
        <w:t xml:space="preserve">), </w:t>
      </w:r>
      <w:r w:rsidR="003C7405">
        <w:t xml:space="preserve">David NGWA MBOT (GDS France), Stephanie Philizot (SNGTV), </w:t>
      </w:r>
      <w:r>
        <w:t>Bruno</w:t>
      </w:r>
      <w:r w:rsidR="005261ED">
        <w:t xml:space="preserve"> </w:t>
      </w:r>
      <w:r w:rsidR="003C7405">
        <w:t xml:space="preserve"> ROY (</w:t>
      </w:r>
      <w:r>
        <w:t>SIMV/BVT</w:t>
      </w:r>
      <w:r w:rsidR="003C7405">
        <w:t xml:space="preserve">), </w:t>
      </w:r>
      <w:r>
        <w:t xml:space="preserve">Elisabeth VAUCLARE (SIMV/IDEXX), </w:t>
      </w:r>
      <w:r w:rsidR="00074D58">
        <w:t>Caroline VISTE – MARTIN (DGAl)</w:t>
      </w:r>
      <w:r w:rsidR="00C44C93">
        <w:t xml:space="preserve">, </w:t>
      </w:r>
      <w:r w:rsidR="00074D58">
        <w:t xml:space="preserve"> </w:t>
      </w:r>
      <w:r w:rsidR="003C7405">
        <w:t>Philippe YVOREL (</w:t>
      </w:r>
      <w:r>
        <w:t xml:space="preserve">SIMV/ </w:t>
      </w:r>
      <w:r w:rsidR="003C7405">
        <w:t xml:space="preserve">Adiagène), </w:t>
      </w:r>
    </w:p>
    <w:p w:rsidR="003C7405" w:rsidRDefault="00891FC4">
      <w:r>
        <w:t>Animation : Jaquemine VIALARD  (Anses Niort)</w:t>
      </w:r>
    </w:p>
    <w:p w:rsidR="003C7405" w:rsidRDefault="003C7405"/>
    <w:p w:rsidR="003E2EE7" w:rsidRPr="00511408" w:rsidRDefault="00A23DF9" w:rsidP="008452A2">
      <w:pPr>
        <w:pStyle w:val="Sous-titre"/>
        <w:rPr>
          <w:rFonts w:ascii="Arial" w:hAnsi="Arial" w:cs="Arial"/>
          <w:b/>
          <w:i w:val="0"/>
          <w:color w:val="1F497D"/>
          <w:sz w:val="28"/>
          <w:u w:val="single"/>
        </w:rPr>
      </w:pPr>
      <w:r w:rsidRPr="00511408">
        <w:rPr>
          <w:rFonts w:ascii="Arial" w:hAnsi="Arial" w:cs="Arial"/>
          <w:b/>
          <w:i w:val="0"/>
          <w:color w:val="1F497D"/>
          <w:sz w:val="28"/>
          <w:u w:val="single"/>
        </w:rPr>
        <w:t xml:space="preserve">Point 1 : </w:t>
      </w:r>
      <w:r w:rsidR="008452A2" w:rsidRPr="00511408">
        <w:rPr>
          <w:rFonts w:ascii="Arial" w:hAnsi="Arial" w:cs="Arial"/>
          <w:b/>
          <w:i w:val="0"/>
          <w:color w:val="1F497D"/>
          <w:sz w:val="28"/>
          <w:u w:val="single"/>
        </w:rPr>
        <w:t xml:space="preserve">Nature des informations </w:t>
      </w:r>
      <w:r w:rsidR="00891FC4">
        <w:rPr>
          <w:rFonts w:ascii="Arial" w:hAnsi="Arial" w:cs="Arial"/>
          <w:b/>
          <w:i w:val="0"/>
          <w:color w:val="1F497D"/>
          <w:sz w:val="28"/>
          <w:u w:val="single"/>
        </w:rPr>
        <w:t xml:space="preserve">à destination </w:t>
      </w:r>
      <w:r w:rsidR="008452A2" w:rsidRPr="00511408">
        <w:rPr>
          <w:rFonts w:ascii="Arial" w:hAnsi="Arial" w:cs="Arial"/>
          <w:b/>
          <w:i w:val="0"/>
          <w:color w:val="1F497D"/>
          <w:sz w:val="28"/>
          <w:u w:val="single"/>
        </w:rPr>
        <w:t xml:space="preserve">des utilisateurs des réactifs </w:t>
      </w:r>
    </w:p>
    <w:p w:rsidR="00A23DF9" w:rsidRPr="00A23DF9" w:rsidRDefault="00A23DF9">
      <w:pPr>
        <w:rPr>
          <w:i/>
        </w:rPr>
      </w:pPr>
      <w:r w:rsidRPr="00A23DF9">
        <w:rPr>
          <w:i/>
        </w:rPr>
        <w:t xml:space="preserve">Support de discussion :  Propositions d’items pour fiche technique tests rapides (cf. annexe 1)  </w:t>
      </w:r>
    </w:p>
    <w:p w:rsidR="00A23DF9" w:rsidRPr="00511408" w:rsidRDefault="00A23DF9">
      <w:pPr>
        <w:rPr>
          <w:b/>
          <w:i/>
          <w:color w:val="1F497D"/>
          <w:sz w:val="24"/>
          <w:u w:val="single"/>
        </w:rPr>
      </w:pPr>
      <w:r w:rsidRPr="00511408">
        <w:rPr>
          <w:b/>
          <w:i/>
          <w:color w:val="1F497D"/>
          <w:sz w:val="24"/>
          <w:u w:val="single"/>
        </w:rPr>
        <w:t xml:space="preserve">CONSTATS </w:t>
      </w:r>
    </w:p>
    <w:p w:rsidR="00AE44CC" w:rsidRDefault="00AE44CC" w:rsidP="00AE44CC">
      <w:pPr>
        <w:pStyle w:val="Paragraphedeliste"/>
        <w:numPr>
          <w:ilvl w:val="0"/>
          <w:numId w:val="2"/>
        </w:numPr>
        <w:jc w:val="both"/>
      </w:pPr>
      <w:r>
        <w:t xml:space="preserve">Mode d’emploi = document </w:t>
      </w:r>
    </w:p>
    <w:p w:rsidR="00AE44CC" w:rsidRDefault="00AE44CC" w:rsidP="00AE44CC">
      <w:pPr>
        <w:pStyle w:val="Paragraphedeliste"/>
        <w:numPr>
          <w:ilvl w:val="1"/>
          <w:numId w:val="2"/>
        </w:numPr>
        <w:jc w:val="both"/>
      </w:pPr>
      <w:r>
        <w:t xml:space="preserve">Regroupant généralement des informations de base sur le mode d’utilisation du réactif ainsi que les éléments d’interprétation. </w:t>
      </w:r>
    </w:p>
    <w:p w:rsidR="00AE44CC" w:rsidRDefault="00AE44CC" w:rsidP="00AE44CC">
      <w:pPr>
        <w:pStyle w:val="Paragraphedeliste"/>
        <w:numPr>
          <w:ilvl w:val="1"/>
          <w:numId w:val="2"/>
        </w:numPr>
        <w:jc w:val="both"/>
      </w:pPr>
      <w:r>
        <w:t>Relativement homogène entre les différents fabricants  (descriptif des constituants du réactif, des différentes étapes de réalisation de l’analyse, des modalités de lecture du résultat et  éléments relatifs à la sécurité par rapport aux produits contenus).</w:t>
      </w:r>
    </w:p>
    <w:p w:rsidR="00AE44CC" w:rsidRDefault="00AE44CC" w:rsidP="00AE44CC">
      <w:pPr>
        <w:pStyle w:val="Paragraphedeliste"/>
        <w:numPr>
          <w:ilvl w:val="1"/>
          <w:numId w:val="2"/>
        </w:numPr>
        <w:jc w:val="both"/>
      </w:pPr>
      <w:r>
        <w:t xml:space="preserve">Mis à jour par intégration d’informations complémentaires à la demande des utilisateurs </w:t>
      </w:r>
    </w:p>
    <w:p w:rsidR="00AE44CC" w:rsidRDefault="00AE44CC" w:rsidP="00AE44CC">
      <w:pPr>
        <w:pStyle w:val="Paragraphedeliste"/>
        <w:numPr>
          <w:ilvl w:val="1"/>
          <w:numId w:val="2"/>
        </w:numPr>
        <w:jc w:val="both"/>
      </w:pPr>
      <w:r>
        <w:t xml:space="preserve">Pouvant se présenter sous forme papier ou consultable via QR code. Format papier obligatoire dans certains pays.   </w:t>
      </w:r>
    </w:p>
    <w:p w:rsidR="00AE44CC" w:rsidRDefault="00AE44CC" w:rsidP="00AE44CC">
      <w:pPr>
        <w:pStyle w:val="Paragraphedeliste"/>
        <w:numPr>
          <w:ilvl w:val="0"/>
          <w:numId w:val="2"/>
        </w:numPr>
        <w:jc w:val="both"/>
      </w:pPr>
      <w:r>
        <w:t>Absence de directive particulière sur le contenu d’un mode d’emploi qui accompagne un réactif (sauf cas particuliers des réactifs agréés pour lesquels les LNR peuvent donner des instructions aux fabricants)</w:t>
      </w:r>
    </w:p>
    <w:p w:rsidR="00AE44CC" w:rsidRDefault="00AE44CC" w:rsidP="00AE44CC">
      <w:pPr>
        <w:pStyle w:val="Paragraphedeliste"/>
        <w:numPr>
          <w:ilvl w:val="0"/>
          <w:numId w:val="2"/>
        </w:numPr>
        <w:jc w:val="both"/>
      </w:pPr>
      <w:r>
        <w:t xml:space="preserve">Compléments d’information /mode d’emploi disponibles auprès des fabricants, pour l’instant essentiellement  sur demande </w:t>
      </w:r>
    </w:p>
    <w:p w:rsidR="00AE44CC" w:rsidRDefault="00AE44CC" w:rsidP="00AE44CC">
      <w:pPr>
        <w:pStyle w:val="Paragraphedeliste"/>
        <w:numPr>
          <w:ilvl w:val="0"/>
          <w:numId w:val="2"/>
        </w:numPr>
        <w:jc w:val="both"/>
      </w:pPr>
      <w:r>
        <w:t xml:space="preserve">Problèmes signalés par les utilisateurs répertoriés au niveau du système qualité du producteur (obligation de la norme ISO 9001) et font l’objet d’actions correctives et/ou préventives  qui peuvent conduire à des modifications du mode d’emploi signalées directement sur le mode d’emploi ou par un sticker sur l’emballage.  Pas particulièrement de communication active vers les utilisateurs/détenteurs de versions antérieures du réactif.  </w:t>
      </w:r>
    </w:p>
    <w:p w:rsidR="00A23DF9" w:rsidRDefault="00A23DF9" w:rsidP="00A23DF9">
      <w:pPr>
        <w:pStyle w:val="Paragraphedeliste"/>
        <w:numPr>
          <w:ilvl w:val="0"/>
          <w:numId w:val="2"/>
        </w:numPr>
        <w:jc w:val="both"/>
      </w:pPr>
      <w:r>
        <w:t xml:space="preserve">Items listés </w:t>
      </w:r>
      <w:r w:rsidR="00AE44CC">
        <w:t>(cf. annexe1) =  Très</w:t>
      </w:r>
      <w:r>
        <w:t xml:space="preserve"> g</w:t>
      </w:r>
      <w:r w:rsidR="003E2EE7">
        <w:t xml:space="preserve">rande quantité d’informations </w:t>
      </w:r>
      <w:r>
        <w:t xml:space="preserve">qui ne peuvent être regroupées dans un seul et même document (mode d’emploi) </w:t>
      </w:r>
    </w:p>
    <w:p w:rsidR="00A23DF9" w:rsidRDefault="00A23DF9" w:rsidP="00A23DF9">
      <w:pPr>
        <w:pStyle w:val="Paragraphedeliste"/>
        <w:numPr>
          <w:ilvl w:val="0"/>
          <w:numId w:val="2"/>
        </w:numPr>
        <w:jc w:val="both"/>
      </w:pPr>
      <w:r>
        <w:t xml:space="preserve">Souhait des utilisateurs de pouvoir disposer de données </w:t>
      </w:r>
      <w:r w:rsidR="00AB5431">
        <w:t xml:space="preserve">suffisamment documentées comme par exemple les </w:t>
      </w:r>
      <w:r>
        <w:t xml:space="preserve">conditions d’obtention des Se et Sp </w:t>
      </w:r>
      <w:r w:rsidR="00AB5431">
        <w:t xml:space="preserve">présentées, les conditions d’utilisation en fonction des matrices et </w:t>
      </w:r>
      <w:r w:rsidR="00AE44CC">
        <w:t>l’</w:t>
      </w:r>
      <w:r w:rsidR="00891FC4">
        <w:t>impact éventuel</w:t>
      </w:r>
      <w:r w:rsidR="00AB5431">
        <w:t xml:space="preserve"> sur </w:t>
      </w:r>
      <w:r w:rsidR="00891FC4">
        <w:t>la</w:t>
      </w:r>
      <w:r w:rsidR="00AB5431">
        <w:t xml:space="preserve"> sensibilité, </w:t>
      </w:r>
      <w:r w:rsidR="00AB5431">
        <w:lastRenderedPageBreak/>
        <w:t xml:space="preserve">l’emploi possible pour d’autres espèces que celles ciblées habituellement (exemple animaux </w:t>
      </w:r>
      <w:r w:rsidR="00AE44CC">
        <w:t xml:space="preserve">de </w:t>
      </w:r>
      <w:r w:rsidR="00AB5431">
        <w:t>p</w:t>
      </w:r>
      <w:r w:rsidR="0044184E">
        <w:t xml:space="preserve">arcs zoologiques), spécificités liées à un emploi </w:t>
      </w:r>
      <w:r w:rsidR="00BF0337">
        <w:t xml:space="preserve">en </w:t>
      </w:r>
      <w:r w:rsidR="00AE44CC">
        <w:t>contexte réglementaire …</w:t>
      </w:r>
    </w:p>
    <w:p w:rsidR="00D7232D" w:rsidRDefault="00BF0337" w:rsidP="00A23DF9">
      <w:pPr>
        <w:pStyle w:val="Paragraphedeliste"/>
        <w:numPr>
          <w:ilvl w:val="0"/>
          <w:numId w:val="2"/>
        </w:numPr>
        <w:jc w:val="both"/>
      </w:pPr>
      <w:r>
        <w:t xml:space="preserve">Difficultés </w:t>
      </w:r>
      <w:r w:rsidR="00AE44CC">
        <w:t xml:space="preserve">pour les producteurs </w:t>
      </w:r>
      <w:r>
        <w:t xml:space="preserve">de </w:t>
      </w:r>
      <w:r w:rsidR="00AE44CC">
        <w:t xml:space="preserve">réactifs de pouvoir fournir des </w:t>
      </w:r>
      <w:r>
        <w:t xml:space="preserve">données sur les performances des </w:t>
      </w:r>
      <w:r w:rsidR="00AE44CC">
        <w:t xml:space="preserve">tests </w:t>
      </w:r>
      <w:r w:rsidR="00D7232D">
        <w:t xml:space="preserve">en fonction des  différents </w:t>
      </w:r>
      <w:r>
        <w:t>contexte</w:t>
      </w:r>
      <w:r w:rsidR="00D7232D">
        <w:t>s</w:t>
      </w:r>
      <w:r>
        <w:t xml:space="preserve"> épidémiologique</w:t>
      </w:r>
      <w:r w:rsidR="00D7232D">
        <w:t>s possibles d</w:t>
      </w:r>
      <w:r>
        <w:t>’</w:t>
      </w:r>
      <w:r w:rsidR="00D7232D">
        <w:t>utilisation (prévalence , variabilité des</w:t>
      </w:r>
      <w:r w:rsidR="00891FC4">
        <w:t xml:space="preserve"> souches circulantes,  …) mais </w:t>
      </w:r>
      <w:r w:rsidR="00D7232D">
        <w:t xml:space="preserve">certaines informations sur les performances indépendantes </w:t>
      </w:r>
      <w:r w:rsidR="00891FC4">
        <w:t>du contexte d’emploi pourraient</w:t>
      </w:r>
      <w:r w:rsidR="00D7232D">
        <w:t xml:space="preserve"> être </w:t>
      </w:r>
      <w:r w:rsidR="00AE44CC">
        <w:t xml:space="preserve">fournies </w:t>
      </w:r>
      <w:r w:rsidR="00D7232D">
        <w:t xml:space="preserve">( i.e selon le type de matrice testée). </w:t>
      </w:r>
    </w:p>
    <w:p w:rsidR="0044184E" w:rsidRDefault="00AE44CC" w:rsidP="00A23DF9">
      <w:pPr>
        <w:pStyle w:val="Paragraphedeliste"/>
        <w:numPr>
          <w:ilvl w:val="0"/>
          <w:numId w:val="2"/>
        </w:numPr>
        <w:jc w:val="both"/>
      </w:pPr>
      <w:r>
        <w:t>Informations relatives</w:t>
      </w:r>
      <w:r w:rsidR="0044184E">
        <w:t xml:space="preserve"> au diagnostic expéri</w:t>
      </w:r>
      <w:r>
        <w:t>mental (infos sur la maladie ou</w:t>
      </w:r>
      <w:r w:rsidR="0044184E">
        <w:t xml:space="preserve"> utiles pour l’interprétation du résultat obtenu – i </w:t>
      </w:r>
      <w:r w:rsidR="003111CD">
        <w:t xml:space="preserve">. </w:t>
      </w:r>
      <w:r w:rsidR="0044184E">
        <w:t xml:space="preserve">e dynamique réponse immunitaire ou excrétion) </w:t>
      </w:r>
      <w:r>
        <w:t>-</w:t>
      </w:r>
      <w:r w:rsidR="0044184E">
        <w:t xml:space="preserve"> sont plus du ressort  des organismes de formation des utilisateurs (initiale ou continue via  SNGTV,  AFVAC …  ). </w:t>
      </w:r>
    </w:p>
    <w:p w:rsidR="0044184E" w:rsidRDefault="0044184E" w:rsidP="0044184E">
      <w:pPr>
        <w:pStyle w:val="Paragraphedeliste"/>
        <w:ind w:left="1788"/>
        <w:jc w:val="both"/>
      </w:pPr>
    </w:p>
    <w:p w:rsidR="00D7232D" w:rsidRPr="00511408" w:rsidRDefault="00510509" w:rsidP="00D7232D">
      <w:pPr>
        <w:jc w:val="both"/>
        <w:rPr>
          <w:b/>
          <w:i/>
          <w:color w:val="1F497D"/>
          <w:sz w:val="24"/>
          <w:u w:val="single"/>
        </w:rPr>
      </w:pPr>
      <w:r w:rsidRPr="00511408">
        <w:rPr>
          <w:b/>
          <w:i/>
          <w:caps/>
          <w:color w:val="1F497D"/>
          <w:sz w:val="24"/>
          <w:u w:val="single"/>
        </w:rPr>
        <w:t xml:space="preserve">avis </w:t>
      </w:r>
      <w:r w:rsidR="00D7232D" w:rsidRPr="00511408">
        <w:rPr>
          <w:b/>
          <w:i/>
          <w:caps/>
          <w:color w:val="1F497D"/>
          <w:sz w:val="24"/>
          <w:u w:val="single"/>
        </w:rPr>
        <w:t>du GT</w:t>
      </w:r>
      <w:r w:rsidR="00511408" w:rsidRPr="00511408">
        <w:rPr>
          <w:b/>
          <w:i/>
          <w:caps/>
          <w:color w:val="1F497D"/>
          <w:sz w:val="24"/>
          <w:u w:val="single"/>
        </w:rPr>
        <w:t xml:space="preserve"> ET PROPOSITIONS </w:t>
      </w:r>
    </w:p>
    <w:p w:rsidR="003A117E" w:rsidRDefault="00D7232D" w:rsidP="00D7232D">
      <w:pPr>
        <w:pStyle w:val="Paragraphedeliste"/>
        <w:numPr>
          <w:ilvl w:val="0"/>
          <w:numId w:val="1"/>
        </w:numPr>
        <w:jc w:val="both"/>
      </w:pPr>
      <w:r>
        <w:t xml:space="preserve">Faire figurer </w:t>
      </w:r>
      <w:r w:rsidR="003A117E">
        <w:t xml:space="preserve">sur le </w:t>
      </w:r>
      <w:r w:rsidR="003A117E" w:rsidRPr="00D7232D">
        <w:rPr>
          <w:b/>
        </w:rPr>
        <w:t>mode d’emploi</w:t>
      </w:r>
      <w:r w:rsidR="003A117E">
        <w:t xml:space="preserve"> tout ce qui est permet la </w:t>
      </w:r>
      <w:r w:rsidR="003A117E" w:rsidRPr="00D7232D">
        <w:rPr>
          <w:b/>
        </w:rPr>
        <w:t>réalisation de l’analyse</w:t>
      </w:r>
      <w:r w:rsidR="003A117E">
        <w:t xml:space="preserve"> dans les meilleures conditions,</w:t>
      </w:r>
      <w:r w:rsidR="00510509">
        <w:t xml:space="preserve"> </w:t>
      </w:r>
    </w:p>
    <w:p w:rsidR="00AF2FE3" w:rsidRDefault="00D7232D" w:rsidP="003A117E">
      <w:pPr>
        <w:pStyle w:val="Paragraphedeliste"/>
        <w:numPr>
          <w:ilvl w:val="0"/>
          <w:numId w:val="1"/>
        </w:numPr>
        <w:jc w:val="both"/>
      </w:pPr>
      <w:r>
        <w:t xml:space="preserve">Rendre disponible sous la forme d’une </w:t>
      </w:r>
      <w:r w:rsidR="00AE44CC">
        <w:rPr>
          <w:b/>
        </w:rPr>
        <w:t>fiche</w:t>
      </w:r>
      <w:r w:rsidR="00AF2FE3" w:rsidRPr="00D7232D">
        <w:rPr>
          <w:b/>
        </w:rPr>
        <w:t xml:space="preserve"> technique ou </w:t>
      </w:r>
      <w:r w:rsidRPr="00D7232D">
        <w:rPr>
          <w:b/>
        </w:rPr>
        <w:t>d’information</w:t>
      </w:r>
      <w:r w:rsidR="00AF2FE3">
        <w:t xml:space="preserve"> tout ce qui peut permettre à l’utilisateur </w:t>
      </w:r>
      <w:r w:rsidR="00AF2FE3" w:rsidRPr="00D7232D">
        <w:t>d’</w:t>
      </w:r>
      <w:r w:rsidR="00AF2FE3" w:rsidRPr="00D7232D">
        <w:rPr>
          <w:b/>
        </w:rPr>
        <w:t>évaluer la valeur  du résultat obtenu</w:t>
      </w:r>
      <w:r w:rsidR="00AF2FE3">
        <w:t xml:space="preserve">. </w:t>
      </w:r>
    </w:p>
    <w:p w:rsidR="00AE44CC" w:rsidRDefault="00152FBD" w:rsidP="003A117E">
      <w:pPr>
        <w:pStyle w:val="Paragraphedeliste"/>
        <w:numPr>
          <w:ilvl w:val="0"/>
          <w:numId w:val="1"/>
        </w:numPr>
        <w:jc w:val="both"/>
      </w:pPr>
      <w:r>
        <w:t xml:space="preserve">Proposer un </w:t>
      </w:r>
      <w:r w:rsidR="00D725D3">
        <w:t xml:space="preserve">trame </w:t>
      </w:r>
      <w:r>
        <w:t>de présentation des données figu</w:t>
      </w:r>
      <w:r w:rsidR="00D725D3">
        <w:t xml:space="preserve">rant sur cette  fiche technique </w:t>
      </w:r>
      <w:r>
        <w:t xml:space="preserve">ou d’information, </w:t>
      </w:r>
      <w:r w:rsidR="00AE44CC">
        <w:t xml:space="preserve">en s’inspirant de </w:t>
      </w:r>
      <w:r w:rsidR="00D725D3">
        <w:t>documents normatifs (i.e. NFU 47-301 – dossier de présentation pour le contrôle des réactifs biologiques utilisés dans le domaine de la santé animale,</w:t>
      </w:r>
    </w:p>
    <w:p w:rsidR="004A743F" w:rsidRDefault="00510509" w:rsidP="003A117E">
      <w:pPr>
        <w:pStyle w:val="Paragraphedeliste"/>
        <w:numPr>
          <w:ilvl w:val="0"/>
          <w:numId w:val="1"/>
        </w:numPr>
        <w:jc w:val="both"/>
      </w:pPr>
      <w:r>
        <w:t xml:space="preserve">Concernant </w:t>
      </w:r>
      <w:r w:rsidRPr="00AE44CC">
        <w:rPr>
          <w:b/>
        </w:rPr>
        <w:t xml:space="preserve">l’évaluation </w:t>
      </w:r>
      <w:r w:rsidR="004A743F" w:rsidRPr="00AE44CC">
        <w:rPr>
          <w:b/>
        </w:rPr>
        <w:t>de la fiabilité des informations</w:t>
      </w:r>
      <w:r w:rsidR="004A743F">
        <w:t xml:space="preserve"> mises</w:t>
      </w:r>
      <w:r>
        <w:t xml:space="preserve"> à disposition des utilisateurs, plusieurs pistes </w:t>
      </w:r>
      <w:r w:rsidR="006319FB">
        <w:t>envisageables</w:t>
      </w:r>
      <w:r w:rsidR="00A62F1F">
        <w:t xml:space="preserve"> et</w:t>
      </w:r>
      <w:r w:rsidR="006319FB">
        <w:t xml:space="preserve"> non exclusives</w:t>
      </w:r>
      <w:r w:rsidR="00A62F1F">
        <w:t xml:space="preserve"> l’une de l’autre </w:t>
      </w:r>
      <w:r w:rsidR="004A743F">
        <w:t xml:space="preserve">: </w:t>
      </w:r>
    </w:p>
    <w:p w:rsidR="00CD4848" w:rsidRDefault="00CD1C6D" w:rsidP="004A743F">
      <w:pPr>
        <w:pStyle w:val="Paragraphedeliste"/>
        <w:numPr>
          <w:ilvl w:val="1"/>
          <w:numId w:val="1"/>
        </w:numPr>
        <w:jc w:val="both"/>
      </w:pPr>
      <w:r w:rsidRPr="00CD1C6D">
        <w:rPr>
          <w:u w:val="single"/>
        </w:rPr>
        <w:t>1</w:t>
      </w:r>
      <w:r w:rsidRPr="00CD1C6D">
        <w:rPr>
          <w:u w:val="single"/>
          <w:vertAlign w:val="superscript"/>
        </w:rPr>
        <w:t>ère</w:t>
      </w:r>
      <w:r w:rsidRPr="00CD1C6D">
        <w:rPr>
          <w:u w:val="single"/>
        </w:rPr>
        <w:t xml:space="preserve"> possibilité</w:t>
      </w:r>
      <w:r w:rsidR="00D725D3">
        <w:t xml:space="preserve"> : </w:t>
      </w:r>
      <w:r w:rsidR="00CD4848">
        <w:t>l’existence d’un proce</w:t>
      </w:r>
      <w:r w:rsidR="00D725D3">
        <w:t xml:space="preserve">ssus certifiant </w:t>
      </w:r>
      <w:r w:rsidR="006319FB">
        <w:t>ou labellisant</w:t>
      </w:r>
      <w:r w:rsidR="00D725D3">
        <w:t xml:space="preserve">, </w:t>
      </w:r>
      <w:r w:rsidR="00CD4848">
        <w:t xml:space="preserve">garant de la confiance que l’utilisateur peut avoir envers le  réactif visé ; Ce type de dispositif suppose l’existence d’un </w:t>
      </w:r>
      <w:r>
        <w:t xml:space="preserve">tiers </w:t>
      </w:r>
      <w:r w:rsidR="00CD4848">
        <w:t xml:space="preserve">chargé : </w:t>
      </w:r>
    </w:p>
    <w:p w:rsidR="00CD4848" w:rsidRDefault="00D725D3" w:rsidP="00CD4848">
      <w:pPr>
        <w:pStyle w:val="Paragraphedeliste"/>
        <w:numPr>
          <w:ilvl w:val="2"/>
          <w:numId w:val="1"/>
        </w:numPr>
        <w:jc w:val="both"/>
      </w:pPr>
      <w:r>
        <w:t>de faire l’analyse</w:t>
      </w:r>
      <w:r w:rsidR="00CD4848">
        <w:t xml:space="preserve"> des informations fournies par le producteur de réactif (« contrôle documentaire ») , </w:t>
      </w:r>
    </w:p>
    <w:p w:rsidR="006319FB" w:rsidRDefault="00CD4848" w:rsidP="006319FB">
      <w:pPr>
        <w:pStyle w:val="Paragraphedeliste"/>
        <w:numPr>
          <w:ilvl w:val="2"/>
          <w:numId w:val="1"/>
        </w:numPr>
        <w:jc w:val="both"/>
      </w:pPr>
      <w:r>
        <w:t> et</w:t>
      </w:r>
      <w:r w:rsidR="00D0250B">
        <w:t>,</w:t>
      </w:r>
      <w:r>
        <w:t xml:space="preserve"> s’il en a les moyens, de réaliser des vérifications des allégations </w:t>
      </w:r>
      <w:r w:rsidR="00D725D3">
        <w:t>du fabricant</w:t>
      </w:r>
      <w:r>
        <w:t xml:space="preserve"> ; </w:t>
      </w:r>
    </w:p>
    <w:p w:rsidR="006319FB" w:rsidRDefault="00D725D3" w:rsidP="00CD1C6D">
      <w:pPr>
        <w:ind w:left="1416" w:firstLine="39"/>
        <w:jc w:val="both"/>
      </w:pPr>
      <w:r>
        <w:t>Obligation pour l</w:t>
      </w:r>
      <w:r w:rsidR="00A62F1F">
        <w:t xml:space="preserve">e tiers </w:t>
      </w:r>
      <w:r w:rsidR="006319FB">
        <w:t xml:space="preserve">en charge de ces opérations </w:t>
      </w:r>
      <w:r>
        <w:t xml:space="preserve">de </w:t>
      </w:r>
      <w:r w:rsidR="006319FB">
        <w:t>présente</w:t>
      </w:r>
      <w:r>
        <w:t>r</w:t>
      </w:r>
      <w:r w:rsidR="006319FB">
        <w:t xml:space="preserve"> des garanties d’indépendance, </w:t>
      </w:r>
      <w:r w:rsidR="00A62F1F">
        <w:t xml:space="preserve">de </w:t>
      </w:r>
      <w:r w:rsidR="00D0250B">
        <w:t>neutralité et d</w:t>
      </w:r>
      <w:r w:rsidR="00A62F1F">
        <w:t xml:space="preserve">’engagement de </w:t>
      </w:r>
      <w:r w:rsidR="00D0250B">
        <w:t>respect des règles de confidentialité</w:t>
      </w:r>
      <w:r w:rsidR="00A62F1F">
        <w:t xml:space="preserve"> et </w:t>
      </w:r>
      <w:r>
        <w:t xml:space="preserve">d’être </w:t>
      </w:r>
      <w:r w:rsidR="00A62F1F">
        <w:t>en capacité d’</w:t>
      </w:r>
      <w:r w:rsidR="00D0250B">
        <w:t>a</w:t>
      </w:r>
      <w:r w:rsidR="00A62F1F">
        <w:t>ssumer</w:t>
      </w:r>
      <w:r w:rsidR="00D0250B">
        <w:t xml:space="preserve"> la responsabilité de la délivrance du « label » </w:t>
      </w:r>
      <w:r w:rsidR="00D0250B">
        <w:sym w:font="Wingdings" w:char="F0E0"/>
      </w:r>
      <w:r w:rsidR="00D0250B">
        <w:t xml:space="preserve"> Etat, organisme certificateur reconnu (type AF</w:t>
      </w:r>
      <w:r>
        <w:t xml:space="preserve">NOR) ou organisme mandaté pour </w:t>
      </w:r>
      <w:r w:rsidR="00D0250B">
        <w:t>réaliser ce type de prestations pour le compte des producteurs d</w:t>
      </w:r>
      <w:r>
        <w:t xml:space="preserve">e réactifs et des utilisateurs </w:t>
      </w:r>
      <w:r w:rsidR="00A62F1F">
        <w:t>et présentant les garanties attendues</w:t>
      </w:r>
    </w:p>
    <w:p w:rsidR="00152FBD" w:rsidRDefault="00CD1C6D" w:rsidP="00152FBD">
      <w:pPr>
        <w:pStyle w:val="Paragraphedeliste"/>
        <w:numPr>
          <w:ilvl w:val="1"/>
          <w:numId w:val="1"/>
        </w:numPr>
        <w:jc w:val="both"/>
      </w:pPr>
      <w:r w:rsidRPr="00CD1C6D">
        <w:rPr>
          <w:u w:val="single"/>
        </w:rPr>
        <w:t>2è possibilité</w:t>
      </w:r>
      <w:r>
        <w:t xml:space="preserve"> : </w:t>
      </w:r>
      <w:r w:rsidR="00D725D3">
        <w:t>E</w:t>
      </w:r>
      <w:r>
        <w:t>valuation ré</w:t>
      </w:r>
      <w:r w:rsidR="00A62F1F">
        <w:t>a</w:t>
      </w:r>
      <w:r w:rsidR="00D725D3">
        <w:t xml:space="preserve">lisée par </w:t>
      </w:r>
      <w:r w:rsidR="006319FB">
        <w:t xml:space="preserve">l’utilisateur final lui-même, </w:t>
      </w:r>
      <w:r w:rsidR="00D725D3">
        <w:t xml:space="preserve">au besoin </w:t>
      </w:r>
      <w:r w:rsidR="006319FB">
        <w:t xml:space="preserve">en s’appuyant </w:t>
      </w:r>
      <w:r w:rsidR="005172BC">
        <w:t xml:space="preserve">sur </w:t>
      </w:r>
      <w:r>
        <w:t>des documents d’information sur le diagnostic expér</w:t>
      </w:r>
      <w:r w:rsidR="005172BC">
        <w:t>imental des maladies concernées</w:t>
      </w:r>
      <w:r>
        <w:t xml:space="preserve"> </w:t>
      </w:r>
      <w:r w:rsidR="006319FB">
        <w:t>mises à disposition par des organismes techniques</w:t>
      </w:r>
      <w:r w:rsidR="00A62F1F">
        <w:t xml:space="preserve">. Cette modalité sous-entend un minimum </w:t>
      </w:r>
      <w:r>
        <w:t>de formation initiale et continue sur le diagnostic de laboratoire</w:t>
      </w:r>
      <w:r w:rsidR="006319FB">
        <w:t xml:space="preserve">, </w:t>
      </w:r>
      <w:r w:rsidR="005172BC">
        <w:t>ainsi qu’une mise à disposition sans réserve par le producteur du réactif d</w:t>
      </w:r>
      <w:r w:rsidR="00D725D3">
        <w:t xml:space="preserve">es informations demandées par l’utilisateur du réactif. </w:t>
      </w:r>
    </w:p>
    <w:p w:rsidR="00A62F1F" w:rsidRDefault="00A62F1F" w:rsidP="00A62F1F">
      <w:pPr>
        <w:pStyle w:val="Paragraphedeliste"/>
        <w:numPr>
          <w:ilvl w:val="0"/>
          <w:numId w:val="1"/>
        </w:numPr>
        <w:jc w:val="both"/>
      </w:pPr>
      <w:r>
        <w:t xml:space="preserve">Concernant </w:t>
      </w:r>
      <w:r w:rsidRPr="00A62F1F">
        <w:rPr>
          <w:b/>
        </w:rPr>
        <w:t>la</w:t>
      </w:r>
      <w:r w:rsidR="005D0386" w:rsidRPr="00A62F1F">
        <w:rPr>
          <w:b/>
        </w:rPr>
        <w:t xml:space="preserve"> réactovigilance</w:t>
      </w:r>
      <w:r w:rsidR="005D0386" w:rsidRPr="00A62F1F">
        <w:t> </w:t>
      </w:r>
      <w:r w:rsidRPr="00A62F1F">
        <w:t>sur ce type de réactifs</w:t>
      </w:r>
      <w:r>
        <w:t xml:space="preserve"> </w:t>
      </w:r>
      <w:r w:rsidR="005D0386">
        <w:t xml:space="preserve">: </w:t>
      </w:r>
      <w:r>
        <w:t>intérêt de réfléchir au moyen de compiler l</w:t>
      </w:r>
      <w:r w:rsidR="00851110">
        <w:t>’ensemble des</w:t>
      </w:r>
      <w:r>
        <w:t xml:space="preserve">  remontées terrain (expériences, problèmes …)</w:t>
      </w:r>
      <w:r w:rsidR="00851110">
        <w:t xml:space="preserve">, mais comment ensuite en assurer la rediffusion vers les utilisateurs finaux ? </w:t>
      </w:r>
      <w:r>
        <w:t xml:space="preserve">   </w:t>
      </w:r>
    </w:p>
    <w:p w:rsidR="005172BC" w:rsidRDefault="005172BC" w:rsidP="00062556">
      <w:pPr>
        <w:pStyle w:val="Paragraphedeliste"/>
        <w:numPr>
          <w:ilvl w:val="0"/>
          <w:numId w:val="1"/>
        </w:numPr>
        <w:jc w:val="both"/>
      </w:pPr>
      <w:r>
        <w:lastRenderedPageBreak/>
        <w:t>Veiller à</w:t>
      </w:r>
      <w:r w:rsidR="007A548A">
        <w:t xml:space="preserve"> ne pas mettre en place des exigences spécifiques disproportionnées pa</w:t>
      </w:r>
      <w:r>
        <w:t xml:space="preserve">r rapport à la valeur du marché, mais intérêt aussi de </w:t>
      </w:r>
      <w:r w:rsidR="001201BD">
        <w:t xml:space="preserve">construire collégialement un dispositif prenant en compte l’ensemble des </w:t>
      </w:r>
      <w:r>
        <w:t>intérêt</w:t>
      </w:r>
      <w:r w:rsidR="001201BD">
        <w:t xml:space="preserve">s (du fabricant jusqu’au payeur de l’analyse) et susceptible de constituer un modèle au niveau européen. </w:t>
      </w:r>
    </w:p>
    <w:p w:rsidR="007F2693" w:rsidRDefault="007F2693" w:rsidP="00062556">
      <w:pPr>
        <w:jc w:val="both"/>
      </w:pPr>
    </w:p>
    <w:p w:rsidR="00511408" w:rsidRPr="00851110" w:rsidRDefault="00062556" w:rsidP="00851110">
      <w:pPr>
        <w:pStyle w:val="Sous-titre"/>
        <w:rPr>
          <w:rFonts w:ascii="Arial" w:hAnsi="Arial" w:cs="Arial"/>
          <w:b/>
          <w:i w:val="0"/>
          <w:color w:val="1F497D"/>
          <w:sz w:val="28"/>
          <w:u w:val="single"/>
        </w:rPr>
      </w:pPr>
      <w:r w:rsidRPr="00511408">
        <w:rPr>
          <w:rFonts w:ascii="Arial" w:hAnsi="Arial" w:cs="Arial"/>
          <w:b/>
          <w:i w:val="0"/>
          <w:color w:val="1F497D"/>
          <w:sz w:val="28"/>
          <w:u w:val="single"/>
        </w:rPr>
        <w:t>Point 2 : Utilisation des réactifs rapides dans des contextes réglementaires (DS1 ou DS2)</w:t>
      </w:r>
    </w:p>
    <w:p w:rsidR="00511408" w:rsidRDefault="001201BD" w:rsidP="00062556">
      <w:pPr>
        <w:jc w:val="both"/>
        <w:rPr>
          <w:i/>
        </w:rPr>
      </w:pPr>
      <w:r w:rsidRPr="00074D58">
        <w:rPr>
          <w:i/>
        </w:rPr>
        <w:t>Support de discussion :</w:t>
      </w:r>
      <w:r w:rsidR="008452A2">
        <w:rPr>
          <w:i/>
        </w:rPr>
        <w:t xml:space="preserve"> </w:t>
      </w:r>
      <w:r w:rsidRPr="00074D58">
        <w:rPr>
          <w:i/>
        </w:rPr>
        <w:t>Exem</w:t>
      </w:r>
      <w:r w:rsidR="00074D58">
        <w:rPr>
          <w:i/>
        </w:rPr>
        <w:t xml:space="preserve">ples de réactifs rapides (type immunochromatographie </w:t>
      </w:r>
      <w:r w:rsidRPr="00074D58">
        <w:rPr>
          <w:i/>
        </w:rPr>
        <w:t xml:space="preserve"> ou SNAP) commercialisés ou en développement (publications scientifiques). (cf. annexe 2) : </w:t>
      </w:r>
      <w:r w:rsidR="008452A2">
        <w:rPr>
          <w:i/>
        </w:rPr>
        <w:t xml:space="preserve">A noter les </w:t>
      </w:r>
      <w:r w:rsidR="00062556" w:rsidRPr="00074D58">
        <w:rPr>
          <w:i/>
        </w:rPr>
        <w:t xml:space="preserve">maladies ciblées </w:t>
      </w:r>
      <w:r w:rsidR="008452A2">
        <w:rPr>
          <w:i/>
        </w:rPr>
        <w:t xml:space="preserve">incluant </w:t>
      </w:r>
      <w:r w:rsidR="00062556" w:rsidRPr="00074D58">
        <w:rPr>
          <w:i/>
        </w:rPr>
        <w:t>de</w:t>
      </w:r>
      <w:r w:rsidRPr="00074D58">
        <w:rPr>
          <w:i/>
        </w:rPr>
        <w:t>s</w:t>
      </w:r>
      <w:r w:rsidR="00062556" w:rsidRPr="00074D58">
        <w:rPr>
          <w:i/>
        </w:rPr>
        <w:t xml:space="preserve"> DS1</w:t>
      </w:r>
      <w:r w:rsidR="008452A2">
        <w:rPr>
          <w:i/>
        </w:rPr>
        <w:t xml:space="preserve">,  </w:t>
      </w:r>
      <w:r w:rsidRPr="00074D58">
        <w:rPr>
          <w:i/>
        </w:rPr>
        <w:t xml:space="preserve">approche </w:t>
      </w:r>
      <w:r w:rsidR="008452A2">
        <w:rPr>
          <w:i/>
        </w:rPr>
        <w:t xml:space="preserve">soit directe - </w:t>
      </w:r>
      <w:r w:rsidRPr="00074D58">
        <w:rPr>
          <w:i/>
        </w:rPr>
        <w:t>recherche d’antigèn</w:t>
      </w:r>
      <w:r w:rsidR="008452A2">
        <w:rPr>
          <w:i/>
        </w:rPr>
        <w:t xml:space="preserve">e  - soit </w:t>
      </w:r>
      <w:r w:rsidRPr="00074D58">
        <w:rPr>
          <w:i/>
        </w:rPr>
        <w:t>indirecte</w:t>
      </w:r>
      <w:r w:rsidR="008452A2">
        <w:rPr>
          <w:i/>
        </w:rPr>
        <w:t xml:space="preserve"> - </w:t>
      </w:r>
      <w:r w:rsidRPr="00074D58">
        <w:rPr>
          <w:i/>
        </w:rPr>
        <w:t>recherche d’</w:t>
      </w:r>
      <w:r w:rsidR="008452A2">
        <w:rPr>
          <w:i/>
        </w:rPr>
        <w:t>anticorps</w:t>
      </w:r>
      <w:r w:rsidRPr="00074D58">
        <w:rPr>
          <w:i/>
        </w:rPr>
        <w:t xml:space="preserve"> , </w:t>
      </w:r>
      <w:r w:rsidR="008452A2">
        <w:rPr>
          <w:i/>
        </w:rPr>
        <w:t xml:space="preserve">la diversité des </w:t>
      </w:r>
      <w:r w:rsidRPr="00074D58">
        <w:rPr>
          <w:i/>
        </w:rPr>
        <w:t xml:space="preserve">matrices </w:t>
      </w:r>
      <w:r w:rsidR="008452A2">
        <w:rPr>
          <w:i/>
        </w:rPr>
        <w:t xml:space="preserve">utilisées </w:t>
      </w:r>
    </w:p>
    <w:p w:rsidR="00074D58" w:rsidRDefault="00074D58" w:rsidP="00062556">
      <w:pPr>
        <w:jc w:val="both"/>
      </w:pPr>
      <w:r>
        <w:t xml:space="preserve">Les réflexions du GT sont </w:t>
      </w:r>
      <w:r w:rsidR="008452A2">
        <w:t xml:space="preserve">consignées </w:t>
      </w:r>
      <w:r>
        <w:t xml:space="preserve">dans le tableau ci-dessous : </w:t>
      </w:r>
    </w:p>
    <w:tbl>
      <w:tblPr>
        <w:tblStyle w:val="Grilledutableau"/>
        <w:tblW w:w="0" w:type="auto"/>
        <w:tblLook w:val="04A0" w:firstRow="1" w:lastRow="0" w:firstColumn="1" w:lastColumn="0" w:noHBand="0" w:noVBand="1"/>
      </w:tblPr>
      <w:tblGrid>
        <w:gridCol w:w="3070"/>
        <w:gridCol w:w="5969"/>
      </w:tblGrid>
      <w:tr w:rsidR="00074D58" w:rsidTr="00074D58">
        <w:tc>
          <w:tcPr>
            <w:tcW w:w="3070" w:type="dxa"/>
          </w:tcPr>
          <w:p w:rsidR="00074D58" w:rsidRDefault="00074D58" w:rsidP="00062556">
            <w:pPr>
              <w:jc w:val="both"/>
            </w:pPr>
            <w:r>
              <w:t xml:space="preserve">Contextes potentiels d’emploi </w:t>
            </w:r>
          </w:p>
        </w:tc>
        <w:tc>
          <w:tcPr>
            <w:tcW w:w="5969" w:type="dxa"/>
          </w:tcPr>
          <w:p w:rsidR="00074D58" w:rsidRDefault="00074D58" w:rsidP="00074D58">
            <w:pPr>
              <w:ind w:right="-2864"/>
              <w:jc w:val="both"/>
            </w:pPr>
            <w:r>
              <w:t xml:space="preserve">Avis du GT </w:t>
            </w:r>
          </w:p>
        </w:tc>
      </w:tr>
      <w:tr w:rsidR="00074D58" w:rsidTr="00074D58">
        <w:tc>
          <w:tcPr>
            <w:tcW w:w="3070" w:type="dxa"/>
          </w:tcPr>
          <w:p w:rsidR="00074D58" w:rsidRDefault="00074D58" w:rsidP="00062556">
            <w:pPr>
              <w:jc w:val="both"/>
            </w:pPr>
            <w:r>
              <w:t xml:space="preserve">Qualification/certification de cheptel </w:t>
            </w:r>
          </w:p>
        </w:tc>
        <w:tc>
          <w:tcPr>
            <w:tcW w:w="5969" w:type="dxa"/>
          </w:tcPr>
          <w:p w:rsidR="00074D58" w:rsidRDefault="00023295" w:rsidP="00851110">
            <w:pPr>
              <w:jc w:val="both"/>
            </w:pPr>
            <w:r>
              <w:t>N</w:t>
            </w:r>
            <w:r w:rsidR="00A670E9" w:rsidRPr="00381DA6">
              <w:t>écessite d’avo</w:t>
            </w:r>
            <w:r w:rsidR="00851110">
              <w:t xml:space="preserve">ir le même niveau de garanties par comparaison avec des </w:t>
            </w:r>
            <w:r w:rsidR="00A670E9" w:rsidRPr="00381DA6">
              <w:t xml:space="preserve">analyses effectuées en laboratoires agréé : </w:t>
            </w:r>
            <w:r w:rsidR="00074D58" w:rsidRPr="00381DA6">
              <w:t xml:space="preserve">Outils </w:t>
            </w:r>
            <w:r w:rsidR="00851110">
              <w:t>validés par un</w:t>
            </w:r>
            <w:r w:rsidR="00A670E9" w:rsidRPr="00381DA6">
              <w:t xml:space="preserve"> laboratoire de référence + </w:t>
            </w:r>
            <w:r w:rsidR="00851110">
              <w:t xml:space="preserve">réalisation de l’analyse selon norme </w:t>
            </w:r>
            <w:r w:rsidR="00A670E9" w:rsidRPr="00381DA6">
              <w:t xml:space="preserve"> 17025) (principal facteur limitant)</w:t>
            </w:r>
            <w:r w:rsidR="00074D58" w:rsidRPr="00381DA6">
              <w:t xml:space="preserve">  </w:t>
            </w:r>
          </w:p>
          <w:p w:rsidR="00023295" w:rsidRPr="00023295" w:rsidRDefault="00023295" w:rsidP="00851110">
            <w:pPr>
              <w:jc w:val="both"/>
              <w:rPr>
                <w:i/>
              </w:rPr>
            </w:pPr>
            <w:r w:rsidRPr="00023295">
              <w:rPr>
                <w:b/>
                <w:i/>
              </w:rPr>
              <w:t>Inenvisageable</w:t>
            </w:r>
            <w:r w:rsidRPr="00023295">
              <w:rPr>
                <w:i/>
              </w:rPr>
              <w:t xml:space="preserve"> </w:t>
            </w:r>
          </w:p>
        </w:tc>
      </w:tr>
      <w:tr w:rsidR="00074D58" w:rsidTr="00074D58">
        <w:tc>
          <w:tcPr>
            <w:tcW w:w="3070" w:type="dxa"/>
          </w:tcPr>
          <w:p w:rsidR="00074D58" w:rsidRDefault="008319C7" w:rsidP="00023295">
            <w:r>
              <w:t xml:space="preserve">Aide au diagnostic différentiel </w:t>
            </w:r>
            <w:r w:rsidR="00023295">
              <w:t xml:space="preserve"> </w:t>
            </w:r>
            <w:r>
              <w:t>et l</w:t>
            </w:r>
            <w:r w:rsidR="005E6FE4">
              <w:t xml:space="preserve">ancement d’alertes /notamment vis-à-vis des DS1 (i.e influenza, FA, PPC ou PPA) </w:t>
            </w:r>
            <w:r w:rsidR="00A670E9">
              <w:t xml:space="preserve">et </w:t>
            </w:r>
          </w:p>
        </w:tc>
        <w:tc>
          <w:tcPr>
            <w:tcW w:w="5969" w:type="dxa"/>
          </w:tcPr>
          <w:p w:rsidR="00074D58" w:rsidRPr="00381DA6" w:rsidRDefault="005E6FE4" w:rsidP="005E6FE4">
            <w:pPr>
              <w:jc w:val="both"/>
            </w:pPr>
            <w:r w:rsidRPr="00381DA6">
              <w:t>Intérêt pour la mise en place rapide des premières  mesures de b</w:t>
            </w:r>
            <w:r w:rsidR="008319C7" w:rsidRPr="00381DA6">
              <w:t>iosécurité et</w:t>
            </w:r>
            <w:r w:rsidRPr="00381DA6">
              <w:t xml:space="preserve"> pour pondérer </w:t>
            </w:r>
            <w:r w:rsidR="00023295">
              <w:t>le sentiment d’injustice lié au  blocage d’exploitation</w:t>
            </w:r>
            <w:r w:rsidRPr="00381DA6">
              <w:t xml:space="preserve"> induit par une suspicion clinique</w:t>
            </w:r>
            <w:r w:rsidR="008319C7" w:rsidRPr="00381DA6">
              <w:t> ;</w:t>
            </w:r>
            <w:r w:rsidRPr="00381DA6">
              <w:t xml:space="preserve">  </w:t>
            </w:r>
          </w:p>
          <w:p w:rsidR="008319C7" w:rsidRPr="00381DA6" w:rsidRDefault="00023295" w:rsidP="008319C7">
            <w:pPr>
              <w:jc w:val="both"/>
            </w:pPr>
            <w:r>
              <w:t>Utilisateurs </w:t>
            </w:r>
            <w:r w:rsidR="008319C7" w:rsidRPr="00381DA6">
              <w:t>potentiels: Vétérinaires, techniciens d’élevage notamment en filières d’élevage industriel</w:t>
            </w:r>
          </w:p>
          <w:p w:rsidR="008319C7" w:rsidRPr="00381DA6" w:rsidRDefault="00023295" w:rsidP="008319C7">
            <w:pPr>
              <w:jc w:val="both"/>
            </w:pPr>
            <w:r>
              <w:t xml:space="preserve">Résultats devant </w:t>
            </w:r>
            <w:r w:rsidR="008319C7" w:rsidRPr="00381DA6">
              <w:t xml:space="preserve">obligatoirement confirmés par un laboratoire agréé utilisant des réactifs agréés. </w:t>
            </w:r>
          </w:p>
          <w:p w:rsidR="008319C7" w:rsidRDefault="008319C7" w:rsidP="008319C7">
            <w:pPr>
              <w:jc w:val="both"/>
            </w:pPr>
            <w:r w:rsidRPr="00381DA6">
              <w:t>Intérêt d’une surveillance de l’utilisation des tests mis à disposition des intervenants en élevage – Obligation de déclaration d’un résultat positif : cohérence avec obligation réglementaire en cas de DS1 - démarche assimilable à un autocontrôle en sécurité sanitaire des aliments</w:t>
            </w:r>
          </w:p>
          <w:p w:rsidR="00023295" w:rsidRPr="00023295" w:rsidRDefault="00023295" w:rsidP="008319C7">
            <w:pPr>
              <w:jc w:val="both"/>
              <w:rPr>
                <w:i/>
              </w:rPr>
            </w:pPr>
            <w:r w:rsidRPr="00023295">
              <w:rPr>
                <w:b/>
                <w:i/>
              </w:rPr>
              <w:t>Elément complémentaire dans l’élaboration de la suspicion  mais en aucun cas un élément décisionnel</w:t>
            </w:r>
            <w:r w:rsidRPr="00023295">
              <w:rPr>
                <w:i/>
              </w:rPr>
              <w:t xml:space="preserve"> </w:t>
            </w:r>
          </w:p>
        </w:tc>
      </w:tr>
      <w:tr w:rsidR="00074D58" w:rsidTr="00074D58">
        <w:tc>
          <w:tcPr>
            <w:tcW w:w="3070" w:type="dxa"/>
          </w:tcPr>
          <w:p w:rsidR="00074D58" w:rsidRDefault="00F9466F" w:rsidP="00062556">
            <w:pPr>
              <w:jc w:val="both"/>
            </w:pPr>
            <w:r>
              <w:t xml:space="preserve">Contrôles des mouvements d’animaux </w:t>
            </w:r>
          </w:p>
        </w:tc>
        <w:tc>
          <w:tcPr>
            <w:tcW w:w="5969" w:type="dxa"/>
          </w:tcPr>
          <w:p w:rsidR="00074D58" w:rsidRPr="00381DA6" w:rsidRDefault="00F9466F" w:rsidP="00062556">
            <w:pPr>
              <w:jc w:val="both"/>
            </w:pPr>
            <w:r w:rsidRPr="00381DA6">
              <w:t xml:space="preserve">Contexte export : </w:t>
            </w:r>
            <w:r w:rsidR="00A670E9" w:rsidRPr="00381DA6">
              <w:t xml:space="preserve">contrôles </w:t>
            </w:r>
            <w:r w:rsidRPr="00381DA6">
              <w:t xml:space="preserve">au niveau des PIF </w:t>
            </w:r>
            <w:r w:rsidR="007F2693" w:rsidRPr="00381DA6">
              <w:t>« </w:t>
            </w:r>
            <w:r w:rsidR="00A670E9" w:rsidRPr="00381DA6">
              <w:t xml:space="preserve"> au pied du camion » </w:t>
            </w:r>
            <w:r w:rsidR="007F2693" w:rsidRPr="00381DA6">
              <w:t xml:space="preserve"> = inté</w:t>
            </w:r>
            <w:r w:rsidRPr="00381DA6">
              <w:t xml:space="preserve">rêt </w:t>
            </w:r>
            <w:r w:rsidR="007F2693" w:rsidRPr="00381DA6">
              <w:t>é</w:t>
            </w:r>
            <w:r w:rsidRPr="00381DA6">
              <w:t xml:space="preserve">ventuel dans un contexte de vérification de fraudes ou en cas </w:t>
            </w:r>
            <w:r w:rsidR="007F2693" w:rsidRPr="00381DA6">
              <w:t>de volonté d’accentuer l’épidémiosu</w:t>
            </w:r>
            <w:r w:rsidR="00A670E9" w:rsidRPr="00381DA6">
              <w:t xml:space="preserve">rveillance / </w:t>
            </w:r>
            <w:r w:rsidR="007F2693" w:rsidRPr="00381DA6">
              <w:t>agents exotique</w:t>
            </w:r>
            <w:r w:rsidR="00A670E9" w:rsidRPr="00381DA6">
              <w:t xml:space="preserve">s menaçants - </w:t>
            </w:r>
          </w:p>
          <w:p w:rsidR="00F9466F" w:rsidRDefault="00F9466F" w:rsidP="00F9466F">
            <w:pPr>
              <w:jc w:val="both"/>
            </w:pPr>
            <w:r w:rsidRPr="00381DA6">
              <w:t xml:space="preserve">Introductions dans les exploitations : Démarche pratiquée dans certains pays (i.e) BVD –  Problème de traçabilité et d’indépendance de l’opérateur pouvant entacher la validité du  résultat </w:t>
            </w:r>
            <w:r w:rsidR="00023295">
              <w:t>–</w:t>
            </w:r>
            <w:r w:rsidRPr="00381DA6">
              <w:t xml:space="preserve"> </w:t>
            </w:r>
          </w:p>
          <w:p w:rsidR="00023295" w:rsidRPr="00023295" w:rsidRDefault="00023295" w:rsidP="00023295">
            <w:pPr>
              <w:jc w:val="both"/>
              <w:rPr>
                <w:b/>
                <w:i/>
              </w:rPr>
            </w:pPr>
            <w:r w:rsidRPr="00023295">
              <w:rPr>
                <w:b/>
                <w:i/>
              </w:rPr>
              <w:t xml:space="preserve">Problème majeur : Marché très limité impliquant un engagement financier des autorités sanitaires  </w:t>
            </w:r>
          </w:p>
        </w:tc>
      </w:tr>
      <w:tr w:rsidR="00074D58" w:rsidTr="00074D58">
        <w:tc>
          <w:tcPr>
            <w:tcW w:w="3070" w:type="dxa"/>
          </w:tcPr>
          <w:p w:rsidR="00074D58" w:rsidRDefault="007F2693" w:rsidP="007F2693">
            <w:pPr>
              <w:jc w:val="both"/>
            </w:pPr>
            <w:r>
              <w:t>Annulation de vente pour vice rédhibitoire</w:t>
            </w:r>
          </w:p>
        </w:tc>
        <w:tc>
          <w:tcPr>
            <w:tcW w:w="5969" w:type="dxa"/>
          </w:tcPr>
          <w:p w:rsidR="00074D58" w:rsidRDefault="007F2693" w:rsidP="00062556">
            <w:pPr>
              <w:jc w:val="both"/>
            </w:pPr>
            <w:r w:rsidRPr="00381DA6">
              <w:t xml:space="preserve">En particulier pour les maladies des carnivores, résultat d’un test rapide peut  être un élément constitutif du dossier. Vis-à-vis d’un vendeur un peu réticent à reprendre l’animal, peut apporter un crédit supplémentaire à la suspicion portée sur des éléments cliniques.  </w:t>
            </w:r>
          </w:p>
          <w:p w:rsidR="00023295" w:rsidRPr="00023295" w:rsidRDefault="00023295" w:rsidP="00062556">
            <w:pPr>
              <w:jc w:val="both"/>
              <w:rPr>
                <w:b/>
                <w:i/>
              </w:rPr>
            </w:pPr>
            <w:r w:rsidRPr="00023295">
              <w:rPr>
                <w:b/>
                <w:i/>
              </w:rPr>
              <w:t>Acceptabilité juridique de ce type d’analyse à évaluer</w:t>
            </w:r>
          </w:p>
        </w:tc>
      </w:tr>
      <w:tr w:rsidR="00074D58" w:rsidTr="00074D58">
        <w:tc>
          <w:tcPr>
            <w:tcW w:w="3070" w:type="dxa"/>
          </w:tcPr>
          <w:p w:rsidR="00074D58" w:rsidRDefault="007F2693" w:rsidP="00062556">
            <w:pPr>
              <w:jc w:val="both"/>
            </w:pPr>
            <w:r>
              <w:t>Surveillance de la faune sauvage  captive ou non</w:t>
            </w:r>
          </w:p>
        </w:tc>
        <w:tc>
          <w:tcPr>
            <w:tcW w:w="5969" w:type="dxa"/>
          </w:tcPr>
          <w:p w:rsidR="003F7762" w:rsidRPr="00381DA6" w:rsidRDefault="007F2693" w:rsidP="003F7762">
            <w:pPr>
              <w:jc w:val="both"/>
            </w:pPr>
            <w:r w:rsidRPr="00381DA6">
              <w:t>Intérê</w:t>
            </w:r>
            <w:r w:rsidR="003F7762" w:rsidRPr="00381DA6">
              <w:t>t potentiel pour le développement de l’épidémiosurveillance participative (i.e implication plus forte des F</w:t>
            </w:r>
            <w:r w:rsidRPr="00381DA6">
              <w:t>DC</w:t>
            </w:r>
            <w:r w:rsidR="003F7762" w:rsidRPr="00381DA6">
              <w:t xml:space="preserve"> ou des ONG de protection animale dans la surveillance de la tuberculose  = tests sur lésions évocatrices ou sur déjections de blaireaux) </w:t>
            </w:r>
          </w:p>
          <w:p w:rsidR="00381DA6" w:rsidRDefault="003F7762" w:rsidP="003F7762">
            <w:pPr>
              <w:jc w:val="both"/>
            </w:pPr>
            <w:r w:rsidRPr="00381DA6">
              <w:t xml:space="preserve">Intérêt dans l’assainissement d’une population infectée  capture – test – abattage </w:t>
            </w:r>
            <w:r w:rsidR="00381DA6" w:rsidRPr="00381DA6">
              <w:t>ou relâ</w:t>
            </w:r>
            <w:r w:rsidRPr="00381DA6">
              <w:t>cher selon résul</w:t>
            </w:r>
            <w:r w:rsidR="00A670E9" w:rsidRPr="00381DA6">
              <w:t>tat du test</w:t>
            </w:r>
            <w:r w:rsidRPr="00381DA6">
              <w:t xml:space="preserve">) </w:t>
            </w:r>
            <w:r w:rsidRPr="00381DA6">
              <w:sym w:font="Wingdings" w:char="F0E0"/>
            </w:r>
            <w:r w:rsidRPr="00381DA6">
              <w:t xml:space="preserve"> meilleure acceptabilité sociétale / processus d’abattage systématique</w:t>
            </w:r>
          </w:p>
          <w:p w:rsidR="00074D58" w:rsidRPr="00023295" w:rsidRDefault="00023295" w:rsidP="003F7762">
            <w:pPr>
              <w:jc w:val="both"/>
              <w:rPr>
                <w:i/>
              </w:rPr>
            </w:pPr>
            <w:r w:rsidRPr="00023295">
              <w:rPr>
                <w:b/>
                <w:i/>
              </w:rPr>
              <w:t xml:space="preserve">Problème majeur : Marché très limité impliquant un engagement financier des autorités sanitaires  </w:t>
            </w:r>
          </w:p>
        </w:tc>
      </w:tr>
    </w:tbl>
    <w:p w:rsidR="00381DA6" w:rsidRDefault="00381DA6" w:rsidP="00062556">
      <w:pPr>
        <w:jc w:val="both"/>
      </w:pPr>
    </w:p>
    <w:p w:rsidR="00023295" w:rsidRDefault="00023295" w:rsidP="00062556">
      <w:pPr>
        <w:jc w:val="both"/>
      </w:pPr>
      <w:r>
        <w:t xml:space="preserve">Nécessité pour des tests utilisés dans ces contextes , de répondre à des </w:t>
      </w:r>
      <w:r w:rsidRPr="00907E83">
        <w:rPr>
          <w:b/>
        </w:rPr>
        <w:t>exigences de performances</w:t>
      </w:r>
      <w:r>
        <w:t xml:space="preserve"> calibrées, avec un bon compromis entre VPN et VPP et un différentiel de qualité avec les kits utilisés en laboratoire, le plus faible possible. Confirmation par un test agréé réalisé par une laboratoire agréé sur un prélèvement réalisé par un vétérinaire sanitaire. </w:t>
      </w:r>
    </w:p>
    <w:p w:rsidR="00023295" w:rsidRDefault="00023295" w:rsidP="00062556">
      <w:pPr>
        <w:jc w:val="both"/>
      </w:pPr>
      <w:r>
        <w:t>Possibilité pour les producteurs de réactifs peuvent répondre à des exigences vis-à-vis de la sensibilité analytique, mais pas sur les aspects de valeurs prédictives</w:t>
      </w:r>
    </w:p>
    <w:p w:rsidR="008452A2" w:rsidRDefault="00381DA6" w:rsidP="00062556">
      <w:pPr>
        <w:jc w:val="both"/>
      </w:pPr>
      <w:r w:rsidRPr="00907E83">
        <w:rPr>
          <w:b/>
        </w:rPr>
        <w:t>C</w:t>
      </w:r>
      <w:r w:rsidR="005E6FE4" w:rsidRPr="00907E83">
        <w:rPr>
          <w:b/>
        </w:rPr>
        <w:t>as de dispositifs autonomes</w:t>
      </w:r>
      <w:r w:rsidR="005E6FE4" w:rsidRPr="00907E83">
        <w:t xml:space="preserve"> (i.e</w:t>
      </w:r>
      <w:r w:rsidR="00023295">
        <w:t xml:space="preserve">  capteurs à la ferme) :  Pourraie</w:t>
      </w:r>
      <w:r w:rsidR="005E6FE4" w:rsidRPr="00907E83">
        <w:t xml:space="preserve">nt </w:t>
      </w:r>
      <w:r w:rsidR="00907E83">
        <w:t>constituer</w:t>
      </w:r>
      <w:r w:rsidRPr="00907E83">
        <w:t xml:space="preserve"> </w:t>
      </w:r>
      <w:r w:rsidR="005E6FE4" w:rsidRPr="00907E83">
        <w:t xml:space="preserve">des </w:t>
      </w:r>
      <w:r w:rsidR="00F9466F" w:rsidRPr="00907E83">
        <w:t xml:space="preserve">systèmes </w:t>
      </w:r>
      <w:r w:rsidR="00023295">
        <w:t xml:space="preserve">intéressants </w:t>
      </w:r>
      <w:r w:rsidRPr="00907E83">
        <w:t xml:space="preserve">sur le plan de la </w:t>
      </w:r>
      <w:r w:rsidR="00907E83">
        <w:t>surveillance en continu (</w:t>
      </w:r>
      <w:r w:rsidR="00F9466F" w:rsidRPr="00907E83">
        <w:t>lanceurs d’alerte</w:t>
      </w:r>
      <w:r w:rsidR="00907E83">
        <w:t>)</w:t>
      </w:r>
      <w:r w:rsidR="00F9466F" w:rsidRPr="00907E83">
        <w:t>. Validité de tels dispositifs pour la délivrance de certificatio</w:t>
      </w:r>
      <w:r w:rsidR="00023295">
        <w:t xml:space="preserve">n envisageable à condition de </w:t>
      </w:r>
      <w:r w:rsidR="00F9466F" w:rsidRPr="00907E83">
        <w:t>répondre aux exigences appliquées aux systè</w:t>
      </w:r>
      <w:r w:rsidR="00023295">
        <w:t xml:space="preserve">mes d’analyse en laboratoires. </w:t>
      </w:r>
      <w:r w:rsidR="00907E83">
        <w:t xml:space="preserve">Point d’attention important : </w:t>
      </w:r>
      <w:r w:rsidR="00907E83" w:rsidRPr="00023295">
        <w:rPr>
          <w:b/>
        </w:rPr>
        <w:t>Clarifier la propriété des données générées</w:t>
      </w:r>
      <w:r w:rsidR="00023295">
        <w:t xml:space="preserve"> </w:t>
      </w:r>
      <w:r w:rsidR="00907E83">
        <w:t>entre le développeur du dispositif, l’éleveur et l</w:t>
      </w:r>
      <w:r w:rsidR="00511408">
        <w:t>e gestionnaire des DS détectés</w:t>
      </w:r>
    </w:p>
    <w:p w:rsidR="00511408" w:rsidRDefault="00511408" w:rsidP="00062556">
      <w:pPr>
        <w:jc w:val="both"/>
      </w:pPr>
    </w:p>
    <w:p w:rsidR="00511408" w:rsidRDefault="00511408" w:rsidP="00B37C47">
      <w:pPr>
        <w:tabs>
          <w:tab w:val="left" w:pos="7371"/>
        </w:tabs>
        <w:jc w:val="both"/>
      </w:pPr>
    </w:p>
    <w:p w:rsidR="00511408" w:rsidRDefault="00511408" w:rsidP="00062556">
      <w:pPr>
        <w:jc w:val="both"/>
      </w:pPr>
    </w:p>
    <w:p w:rsidR="00511408" w:rsidRDefault="00511408" w:rsidP="00062556">
      <w:pPr>
        <w:jc w:val="both"/>
        <w:rPr>
          <w:u w:val="single"/>
        </w:rPr>
        <w:sectPr w:rsidR="00511408" w:rsidSect="0051140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rsidR="00511408" w:rsidRDefault="00511408" w:rsidP="00062556">
      <w:pPr>
        <w:jc w:val="both"/>
        <w:rPr>
          <w:u w:val="single"/>
        </w:rPr>
      </w:pPr>
    </w:p>
    <w:p w:rsidR="00EF47DA" w:rsidRPr="00511408" w:rsidRDefault="00EF47DA" w:rsidP="00062556">
      <w:pPr>
        <w:jc w:val="both"/>
        <w:rPr>
          <w:u w:val="single"/>
        </w:rPr>
      </w:pPr>
      <w:r w:rsidRPr="00511408">
        <w:rPr>
          <w:u w:val="single"/>
        </w:rPr>
        <w:t xml:space="preserve">ANNEXE  1 </w:t>
      </w:r>
      <w:r w:rsidR="008452A2" w:rsidRPr="00511408">
        <w:rPr>
          <w:u w:val="single"/>
        </w:rPr>
        <w:t xml:space="preserve"> Liste des items d’intérêt pour les utilisateurs </w:t>
      </w:r>
    </w:p>
    <w:tbl>
      <w:tblPr>
        <w:tblW w:w="13907" w:type="dxa"/>
        <w:tblInd w:w="55" w:type="dxa"/>
        <w:tblCellMar>
          <w:left w:w="70" w:type="dxa"/>
          <w:right w:w="70" w:type="dxa"/>
        </w:tblCellMar>
        <w:tblLook w:val="04A0" w:firstRow="1" w:lastRow="0" w:firstColumn="1" w:lastColumn="0" w:noHBand="0" w:noVBand="1"/>
      </w:tblPr>
      <w:tblGrid>
        <w:gridCol w:w="2040"/>
        <w:gridCol w:w="2511"/>
        <w:gridCol w:w="2661"/>
        <w:gridCol w:w="6695"/>
      </w:tblGrid>
      <w:tr w:rsidR="008452A2" w:rsidRPr="008452A2" w:rsidTr="00B37C47">
        <w:trPr>
          <w:trHeight w:val="675"/>
        </w:trPr>
        <w:tc>
          <w:tcPr>
            <w:tcW w:w="2040" w:type="dxa"/>
            <w:tcBorders>
              <w:top w:val="single" w:sz="8" w:space="0" w:color="auto"/>
              <w:left w:val="single" w:sz="8" w:space="0" w:color="auto"/>
              <w:bottom w:val="nil"/>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b/>
                <w:bCs/>
                <w:lang w:eastAsia="fr-FR"/>
              </w:rPr>
            </w:pPr>
            <w:r w:rsidRPr="008452A2">
              <w:rPr>
                <w:rFonts w:ascii="Calibri" w:eastAsia="Times New Roman" w:hAnsi="Calibri" w:cs="Times New Roman"/>
                <w:b/>
                <w:bCs/>
                <w:lang w:eastAsia="fr-FR"/>
              </w:rPr>
              <w:t>Catégorie d'informations</w:t>
            </w:r>
          </w:p>
        </w:tc>
        <w:tc>
          <w:tcPr>
            <w:tcW w:w="2511" w:type="dxa"/>
            <w:tcBorders>
              <w:top w:val="single" w:sz="8" w:space="0" w:color="auto"/>
              <w:left w:val="nil"/>
              <w:bottom w:val="nil"/>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b/>
                <w:bCs/>
                <w:lang w:eastAsia="fr-FR"/>
              </w:rPr>
            </w:pPr>
            <w:r w:rsidRPr="008452A2">
              <w:rPr>
                <w:rFonts w:ascii="Calibri" w:eastAsia="Times New Roman" w:hAnsi="Calibri" w:cs="Times New Roman"/>
                <w:b/>
                <w:bCs/>
                <w:lang w:eastAsia="fr-FR"/>
              </w:rPr>
              <w:t xml:space="preserve">Nature  des informations </w:t>
            </w:r>
          </w:p>
        </w:tc>
        <w:tc>
          <w:tcPr>
            <w:tcW w:w="2661" w:type="dxa"/>
            <w:tcBorders>
              <w:top w:val="single" w:sz="8" w:space="0" w:color="auto"/>
              <w:left w:val="nil"/>
              <w:bottom w:val="nil"/>
              <w:right w:val="single" w:sz="8" w:space="0" w:color="auto"/>
            </w:tcBorders>
            <w:shd w:val="clear" w:color="auto" w:fill="auto"/>
            <w:noWrap/>
            <w:vAlign w:val="center"/>
            <w:hideMark/>
          </w:tcPr>
          <w:p w:rsidR="008452A2" w:rsidRPr="008452A2" w:rsidRDefault="008452A2" w:rsidP="008452A2">
            <w:pPr>
              <w:spacing w:after="0" w:line="240" w:lineRule="auto"/>
              <w:rPr>
                <w:rFonts w:ascii="Calibri" w:eastAsia="Times New Roman" w:hAnsi="Calibri" w:cs="Times New Roman"/>
                <w:b/>
                <w:bCs/>
                <w:lang w:eastAsia="fr-FR"/>
              </w:rPr>
            </w:pPr>
            <w:r w:rsidRPr="008452A2">
              <w:rPr>
                <w:rFonts w:ascii="Calibri" w:eastAsia="Times New Roman" w:hAnsi="Calibri" w:cs="Times New Roman"/>
                <w:b/>
                <w:bCs/>
                <w:lang w:eastAsia="fr-FR"/>
              </w:rPr>
              <w:t>Commentaires / précisions</w:t>
            </w:r>
          </w:p>
        </w:tc>
        <w:tc>
          <w:tcPr>
            <w:tcW w:w="6695" w:type="dxa"/>
            <w:tcBorders>
              <w:top w:val="single" w:sz="8" w:space="0" w:color="auto"/>
              <w:left w:val="nil"/>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jc w:val="center"/>
              <w:rPr>
                <w:rFonts w:ascii="Calibri" w:eastAsia="Times New Roman" w:hAnsi="Calibri" w:cs="Times New Roman"/>
                <w:b/>
                <w:bCs/>
                <w:lang w:eastAsia="fr-FR"/>
              </w:rPr>
            </w:pPr>
            <w:r>
              <w:rPr>
                <w:rFonts w:ascii="Calibri" w:eastAsia="Times New Roman" w:hAnsi="Calibri" w:cs="Times New Roman"/>
                <w:b/>
                <w:bCs/>
                <w:lang w:eastAsia="fr-FR"/>
              </w:rPr>
              <w:t>Propositions /remarques des me</w:t>
            </w:r>
            <w:r w:rsidRPr="008452A2">
              <w:rPr>
                <w:rFonts w:ascii="Calibri" w:eastAsia="Times New Roman" w:hAnsi="Calibri" w:cs="Times New Roman"/>
                <w:b/>
                <w:bCs/>
                <w:lang w:eastAsia="fr-FR"/>
              </w:rPr>
              <w:t>mbres du GT</w:t>
            </w:r>
          </w:p>
        </w:tc>
      </w:tr>
      <w:tr w:rsidR="008452A2" w:rsidRPr="008452A2" w:rsidTr="00B37C47">
        <w:trPr>
          <w:trHeight w:val="3180"/>
        </w:trPr>
        <w:tc>
          <w:tcPr>
            <w:tcW w:w="2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Mode d'emploi</w:t>
            </w:r>
          </w:p>
        </w:tc>
        <w:tc>
          <w:tcPr>
            <w:tcW w:w="2511" w:type="dxa"/>
            <w:tcBorders>
              <w:top w:val="single" w:sz="8" w:space="0" w:color="auto"/>
              <w:left w:val="nil"/>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Mode opératoire illustré</w:t>
            </w:r>
          </w:p>
        </w:tc>
        <w:tc>
          <w:tcPr>
            <w:tcW w:w="2661" w:type="dxa"/>
            <w:tcBorders>
              <w:top w:val="single" w:sz="8" w:space="0" w:color="auto"/>
              <w:left w:val="nil"/>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 Indication de la quantité </w:t>
            </w:r>
            <w:r w:rsidRPr="008452A2">
              <w:rPr>
                <w:rFonts w:ascii="Calibri" w:eastAsia="Times New Roman" w:hAnsi="Calibri" w:cs="Times New Roman"/>
                <w:strike/>
                <w:lang w:eastAsia="fr-FR"/>
              </w:rPr>
              <w:t xml:space="preserve">minimale </w:t>
            </w:r>
            <w:r w:rsidRPr="008452A2">
              <w:rPr>
                <w:rFonts w:ascii="Calibri" w:eastAsia="Times New Roman" w:hAnsi="Calibri" w:cs="Times New Roman"/>
                <w:lang w:eastAsia="fr-FR"/>
              </w:rPr>
              <w:t>de matrice nécessaire pour faire l'analyse</w:t>
            </w:r>
          </w:p>
        </w:tc>
        <w:tc>
          <w:tcPr>
            <w:tcW w:w="6695" w:type="dxa"/>
            <w:tcBorders>
              <w:top w:val="nil"/>
              <w:left w:val="nil"/>
              <w:bottom w:val="single" w:sz="8" w:space="0" w:color="auto"/>
              <w:right w:val="single" w:sz="8" w:space="0" w:color="auto"/>
            </w:tcBorders>
            <w:shd w:val="clear" w:color="auto" w:fill="auto"/>
            <w:hideMark/>
          </w:tcPr>
          <w:p w:rsidR="008452A2" w:rsidRPr="008452A2" w:rsidRDefault="008452A2" w:rsidP="008452A2">
            <w:pPr>
              <w:spacing w:after="0" w:line="240" w:lineRule="auto"/>
              <w:rPr>
                <w:rFonts w:ascii="Calibri" w:eastAsia="Times New Roman" w:hAnsi="Calibri" w:cs="Times New Roman"/>
                <w:lang w:eastAsia="fr-FR"/>
              </w:rPr>
            </w:pPr>
            <w:r>
              <w:rPr>
                <w:rFonts w:ascii="Calibri" w:eastAsia="Times New Roman" w:hAnsi="Calibri" w:cs="Times New Roman"/>
                <w:lang w:eastAsia="fr-FR"/>
              </w:rPr>
              <w:t>Q</w:t>
            </w:r>
            <w:r w:rsidRPr="008452A2">
              <w:rPr>
                <w:rFonts w:ascii="Calibri" w:eastAsia="Times New Roman" w:hAnsi="Calibri" w:cs="Times New Roman"/>
                <w:lang w:eastAsia="fr-FR"/>
              </w:rPr>
              <w:t>uantité nécessaire, qualité nécessaire, type de matrice, conservation de la matrice ;      Préciser les conditions de prélèvements (Type de contenant, matériel de prélèvement,…) et de conservation des échantillons. Préciser les points critiques  susceptibles.                                       Au dessus du mode d'emploi un résumé des points d'alerte mis en évidence dans le détail développé dans la suite de la notice. Dans le mode d'emploi: nature des matrices utilisables avec référence à l'iten "performances/ type de matrices" pour le détail, alertes si certaines matrices impactent fortement les résultats. règles de prélèvement et de conservation des matrices. guide de lecture avec échelles colorimétriques, temps de lecture et effet des dépassement (avec références à "conditions limites d'emploi) pour le détail.</w:t>
            </w:r>
          </w:p>
        </w:tc>
      </w:tr>
      <w:tr w:rsidR="008452A2" w:rsidRPr="008452A2" w:rsidTr="00B37C47">
        <w:trPr>
          <w:trHeight w:val="765"/>
        </w:trPr>
        <w:tc>
          <w:tcPr>
            <w:tcW w:w="2040" w:type="dxa"/>
            <w:tcBorders>
              <w:top w:val="nil"/>
              <w:left w:val="single" w:sz="8" w:space="0" w:color="auto"/>
              <w:bottom w:val="single" w:sz="8" w:space="0" w:color="auto"/>
              <w:right w:val="single" w:sz="8" w:space="0" w:color="auto"/>
            </w:tcBorders>
            <w:shd w:val="clear" w:color="auto" w:fill="auto"/>
            <w:vAlign w:val="bottom"/>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Informations sur le fabricant et sur les référentiels de fabrication</w:t>
            </w:r>
          </w:p>
        </w:tc>
        <w:tc>
          <w:tcPr>
            <w:tcW w:w="2511" w:type="dxa"/>
            <w:tcBorders>
              <w:top w:val="nil"/>
              <w:left w:val="nil"/>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Certification ISO 9001 OU </w:t>
            </w:r>
            <w:r w:rsidRPr="008452A2">
              <w:rPr>
                <w:rFonts w:ascii="Calibri" w:eastAsia="Times New Roman" w:hAnsi="Calibri" w:cs="Times New Roman"/>
                <w:strike/>
                <w:lang w:eastAsia="fr-FR"/>
              </w:rPr>
              <w:t xml:space="preserve">et </w:t>
            </w:r>
            <w:r w:rsidRPr="008452A2">
              <w:rPr>
                <w:rFonts w:ascii="Calibri" w:eastAsia="Times New Roman" w:hAnsi="Calibri" w:cs="Times New Roman"/>
                <w:lang w:eastAsia="fr-FR"/>
              </w:rPr>
              <w:t xml:space="preserve">autres, référentiel suivi (normes afnor , ….) </w:t>
            </w:r>
          </w:p>
        </w:tc>
        <w:tc>
          <w:tcPr>
            <w:tcW w:w="2661" w:type="dxa"/>
            <w:tcBorders>
              <w:top w:val="nil"/>
              <w:left w:val="nil"/>
              <w:bottom w:val="single" w:sz="8" w:space="0" w:color="auto"/>
              <w:right w:val="single" w:sz="8" w:space="0" w:color="auto"/>
            </w:tcBorders>
            <w:shd w:val="clear" w:color="auto" w:fill="auto"/>
            <w:noWrap/>
            <w:vAlign w:val="bottom"/>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c>
          <w:tcPr>
            <w:tcW w:w="6695" w:type="dxa"/>
            <w:tcBorders>
              <w:top w:val="nil"/>
              <w:left w:val="nil"/>
              <w:bottom w:val="single" w:sz="8" w:space="0" w:color="auto"/>
              <w:right w:val="single" w:sz="8" w:space="0" w:color="auto"/>
            </w:tcBorders>
            <w:shd w:val="clear" w:color="auto" w:fill="auto"/>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preuve de qualité de fabrication</w:t>
            </w:r>
          </w:p>
        </w:tc>
      </w:tr>
      <w:tr w:rsidR="008452A2" w:rsidRPr="008452A2" w:rsidTr="00B37C47">
        <w:trPr>
          <w:trHeight w:val="390"/>
        </w:trPr>
        <w:tc>
          <w:tcPr>
            <w:tcW w:w="2040" w:type="dxa"/>
            <w:tcBorders>
              <w:top w:val="nil"/>
              <w:left w:val="single" w:sz="8" w:space="0" w:color="auto"/>
              <w:bottom w:val="nil"/>
              <w:right w:val="single" w:sz="8" w:space="0" w:color="auto"/>
            </w:tcBorders>
            <w:shd w:val="clear" w:color="auto" w:fill="auto"/>
            <w:vAlign w:val="bottom"/>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Description et Principe du test</w:t>
            </w:r>
          </w:p>
        </w:tc>
        <w:tc>
          <w:tcPr>
            <w:tcW w:w="2511" w:type="dxa"/>
            <w:tcBorders>
              <w:top w:val="nil"/>
              <w:left w:val="nil"/>
              <w:bottom w:val="nil"/>
              <w:right w:val="single" w:sz="8" w:space="0" w:color="auto"/>
            </w:tcBorders>
            <w:shd w:val="clear" w:color="auto" w:fill="auto"/>
            <w:noWrap/>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Nature des marqueurs détectés (Ag, Ac,…)/Méthode utilisée ( immunochromatographie)</w:t>
            </w:r>
          </w:p>
        </w:tc>
        <w:tc>
          <w:tcPr>
            <w:tcW w:w="2661" w:type="dxa"/>
            <w:tcBorders>
              <w:top w:val="nil"/>
              <w:left w:val="nil"/>
              <w:bottom w:val="nil"/>
              <w:right w:val="nil"/>
            </w:tcBorders>
            <w:shd w:val="clear" w:color="auto" w:fill="auto"/>
            <w:noWrap/>
            <w:vAlign w:val="bottom"/>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c>
          <w:tcPr>
            <w:tcW w:w="6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r>
      <w:tr w:rsidR="008452A2" w:rsidRPr="008452A2" w:rsidTr="00B37C47">
        <w:trPr>
          <w:trHeight w:val="390"/>
        </w:trPr>
        <w:tc>
          <w:tcPr>
            <w:tcW w:w="2040" w:type="dxa"/>
            <w:tcBorders>
              <w:top w:val="single" w:sz="8" w:space="0" w:color="auto"/>
              <w:left w:val="single" w:sz="8" w:space="0" w:color="auto"/>
              <w:bottom w:val="nil"/>
              <w:right w:val="single" w:sz="8" w:space="0" w:color="auto"/>
            </w:tcBorders>
            <w:shd w:val="clear" w:color="auto" w:fill="auto"/>
            <w:vAlign w:val="bottom"/>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Composition du kit</w:t>
            </w:r>
          </w:p>
        </w:tc>
        <w:tc>
          <w:tcPr>
            <w:tcW w:w="2511" w:type="dxa"/>
            <w:tcBorders>
              <w:top w:val="single" w:sz="8" w:space="0" w:color="auto"/>
              <w:left w:val="nil"/>
              <w:bottom w:val="nil"/>
              <w:right w:val="single" w:sz="8" w:space="0" w:color="auto"/>
            </w:tcBorders>
            <w:shd w:val="clear" w:color="auto" w:fill="auto"/>
            <w:noWrap/>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Réactifs du kit</w:t>
            </w:r>
          </w:p>
        </w:tc>
        <w:tc>
          <w:tcPr>
            <w:tcW w:w="2661" w:type="dxa"/>
            <w:tcBorders>
              <w:top w:val="single" w:sz="8" w:space="0" w:color="auto"/>
              <w:left w:val="nil"/>
              <w:bottom w:val="nil"/>
              <w:right w:val="nil"/>
            </w:tcBorders>
            <w:shd w:val="clear" w:color="auto" w:fill="auto"/>
            <w:noWrap/>
            <w:vAlign w:val="bottom"/>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Composants/Conservation</w:t>
            </w:r>
          </w:p>
        </w:tc>
        <w:tc>
          <w:tcPr>
            <w:tcW w:w="6695" w:type="dxa"/>
            <w:tcBorders>
              <w:top w:val="nil"/>
              <w:left w:val="single" w:sz="4" w:space="0" w:color="auto"/>
              <w:bottom w:val="single" w:sz="4" w:space="0" w:color="auto"/>
              <w:right w:val="single" w:sz="4" w:space="0" w:color="auto"/>
            </w:tcBorders>
            <w:shd w:val="clear" w:color="auto" w:fill="auto"/>
            <w:noWrap/>
            <w:vAlign w:val="bottom"/>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r>
      <w:tr w:rsidR="008452A2" w:rsidRPr="008452A2" w:rsidTr="00B37C47">
        <w:trPr>
          <w:trHeight w:val="1035"/>
        </w:trPr>
        <w:tc>
          <w:tcPr>
            <w:tcW w:w="2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Informations sur la maladie et sur le diagnostic expérimental (Informations utiles  à l'interprétation du résultat d'analyse)</w:t>
            </w:r>
          </w:p>
        </w:tc>
        <w:tc>
          <w:tcPr>
            <w:tcW w:w="2511" w:type="dxa"/>
            <w:tcBorders>
              <w:top w:val="single" w:sz="8" w:space="0" w:color="auto"/>
              <w:left w:val="nil"/>
              <w:bottom w:val="nil"/>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Durée d'incubation,  durée de la phase symptomatique, principaux symptômes -Existence de types, sous types , sérovars et impact sur le diagnostic expérimental - dose infectante</w:t>
            </w:r>
          </w:p>
        </w:tc>
        <w:tc>
          <w:tcPr>
            <w:tcW w:w="2661"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Une présentation sous forme d'un chronogramme de ces informations pourrait être conseillée </w:t>
            </w:r>
          </w:p>
        </w:tc>
        <w:tc>
          <w:tcPr>
            <w:tcW w:w="6695" w:type="dxa"/>
            <w:vMerge w:val="restart"/>
            <w:tcBorders>
              <w:top w:val="single" w:sz="8" w:space="0" w:color="auto"/>
              <w:left w:val="single" w:sz="8" w:space="0" w:color="auto"/>
              <w:bottom w:val="single" w:sz="4" w:space="0" w:color="000000"/>
              <w:right w:val="single" w:sz="8" w:space="0" w:color="auto"/>
            </w:tcBorders>
            <w:shd w:val="clear" w:color="auto" w:fill="auto"/>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Les laboratoires ne sont pas les mieux placés pour fournir ces informations " génériques"qui sont plutôt de la prérogative des structures techniques vétérinaires. L'initiative de QUALITEVET qui travaille sur les bonnes pratiques de biologie pourrait être une possibilité pour accéder à ces informations maladies.                                                                                          Préciser peut être également dans ce chapitre les différents tests de diagnostic  existants (ELISA/SN/PCR…) pour orienter en cas de résultats suspects ou positifs                              Nombre d'animaux à tester pour les pathologies de groupe en fonction de la prévalence supposée et caractéristiques de ces animaux (ex animaux hyperthermiques non malades pour les pathologies respiatoires) - Variations de la performance du tests au cours du chronogramme</w:t>
            </w:r>
          </w:p>
        </w:tc>
      </w:tr>
      <w:tr w:rsidR="008452A2" w:rsidRPr="008452A2" w:rsidTr="00B37C47">
        <w:trPr>
          <w:trHeight w:val="2280"/>
        </w:trPr>
        <w:tc>
          <w:tcPr>
            <w:tcW w:w="2040" w:type="dxa"/>
            <w:vMerge/>
            <w:tcBorders>
              <w:top w:val="single" w:sz="8" w:space="0" w:color="auto"/>
              <w:left w:val="single" w:sz="8" w:space="0" w:color="auto"/>
              <w:bottom w:val="single" w:sz="8" w:space="0" w:color="000000"/>
              <w:right w:val="single" w:sz="8" w:space="0" w:color="auto"/>
            </w:tcBorders>
            <w:vAlign w:val="center"/>
            <w:hideMark/>
          </w:tcPr>
          <w:p w:rsidR="008452A2" w:rsidRPr="008452A2" w:rsidRDefault="008452A2" w:rsidP="008452A2">
            <w:pPr>
              <w:spacing w:after="0" w:line="240" w:lineRule="auto"/>
              <w:rPr>
                <w:rFonts w:ascii="Calibri" w:eastAsia="Times New Roman" w:hAnsi="Calibri" w:cs="Times New Roman"/>
                <w:lang w:eastAsia="fr-FR"/>
              </w:rPr>
            </w:pPr>
          </w:p>
        </w:tc>
        <w:tc>
          <w:tcPr>
            <w:tcW w:w="2511" w:type="dxa"/>
            <w:tcBorders>
              <w:top w:val="single" w:sz="4" w:space="0" w:color="auto"/>
              <w:left w:val="nil"/>
              <w:bottom w:val="nil"/>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Durée  d'excrétion de l'agent pathogène et matières virulentes -  Niveau d'excrétion en fonction des stades clinique et asymptomatique (existence d'un portage asymptomatique)  - Caractère permanent ou intermittent de la  présence de l'agent en fonction des matrices testées - </w:t>
            </w:r>
          </w:p>
        </w:tc>
        <w:tc>
          <w:tcPr>
            <w:tcW w:w="2661" w:type="dxa"/>
            <w:vMerge/>
            <w:tcBorders>
              <w:top w:val="single" w:sz="8" w:space="0" w:color="auto"/>
              <w:left w:val="single" w:sz="8" w:space="0" w:color="auto"/>
              <w:bottom w:val="single" w:sz="4" w:space="0" w:color="000000"/>
              <w:right w:val="single" w:sz="8" w:space="0" w:color="auto"/>
            </w:tcBorders>
            <w:vAlign w:val="center"/>
            <w:hideMark/>
          </w:tcPr>
          <w:p w:rsidR="008452A2" w:rsidRPr="008452A2" w:rsidRDefault="008452A2" w:rsidP="008452A2">
            <w:pPr>
              <w:spacing w:after="0" w:line="240" w:lineRule="auto"/>
              <w:rPr>
                <w:rFonts w:ascii="Calibri" w:eastAsia="Times New Roman" w:hAnsi="Calibri" w:cs="Times New Roman"/>
                <w:lang w:eastAsia="fr-FR"/>
              </w:rPr>
            </w:pPr>
          </w:p>
        </w:tc>
        <w:tc>
          <w:tcPr>
            <w:tcW w:w="6695" w:type="dxa"/>
            <w:vMerge/>
            <w:tcBorders>
              <w:top w:val="single" w:sz="8" w:space="0" w:color="auto"/>
              <w:left w:val="single" w:sz="8" w:space="0" w:color="auto"/>
              <w:bottom w:val="single" w:sz="4" w:space="0" w:color="000000"/>
              <w:right w:val="single" w:sz="8" w:space="0" w:color="auto"/>
            </w:tcBorders>
            <w:vAlign w:val="center"/>
            <w:hideMark/>
          </w:tcPr>
          <w:p w:rsidR="008452A2" w:rsidRPr="008452A2" w:rsidRDefault="008452A2" w:rsidP="008452A2">
            <w:pPr>
              <w:spacing w:after="0" w:line="240" w:lineRule="auto"/>
              <w:rPr>
                <w:rFonts w:ascii="Calibri" w:eastAsia="Times New Roman" w:hAnsi="Calibri" w:cs="Times New Roman"/>
                <w:lang w:eastAsia="fr-FR"/>
              </w:rPr>
            </w:pPr>
          </w:p>
        </w:tc>
      </w:tr>
      <w:tr w:rsidR="008452A2" w:rsidRPr="008452A2" w:rsidTr="00B37C47">
        <w:trPr>
          <w:trHeight w:val="1095"/>
        </w:trPr>
        <w:tc>
          <w:tcPr>
            <w:tcW w:w="2040" w:type="dxa"/>
            <w:vMerge/>
            <w:tcBorders>
              <w:top w:val="single" w:sz="8" w:space="0" w:color="auto"/>
              <w:left w:val="single" w:sz="8" w:space="0" w:color="auto"/>
              <w:bottom w:val="single" w:sz="8" w:space="0" w:color="000000"/>
              <w:right w:val="single" w:sz="8" w:space="0" w:color="auto"/>
            </w:tcBorders>
            <w:vAlign w:val="center"/>
            <w:hideMark/>
          </w:tcPr>
          <w:p w:rsidR="008452A2" w:rsidRPr="008452A2" w:rsidRDefault="008452A2" w:rsidP="008452A2">
            <w:pPr>
              <w:spacing w:after="0" w:line="240" w:lineRule="auto"/>
              <w:rPr>
                <w:rFonts w:ascii="Calibri" w:eastAsia="Times New Roman" w:hAnsi="Calibri" w:cs="Times New Roman"/>
                <w:lang w:eastAsia="fr-FR"/>
              </w:rPr>
            </w:pPr>
          </w:p>
        </w:tc>
        <w:tc>
          <w:tcPr>
            <w:tcW w:w="2511" w:type="dxa"/>
            <w:tcBorders>
              <w:top w:val="single" w:sz="4" w:space="0" w:color="auto"/>
              <w:left w:val="nil"/>
              <w:bottom w:val="single" w:sz="4"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Eléments d'informations sur la cinétique des anticorps : Délai d'apparition  des anticorps détectables par la méthode utilisée et durée de persistance</w:t>
            </w:r>
          </w:p>
        </w:tc>
        <w:tc>
          <w:tcPr>
            <w:tcW w:w="2661" w:type="dxa"/>
            <w:vMerge/>
            <w:tcBorders>
              <w:top w:val="single" w:sz="8" w:space="0" w:color="auto"/>
              <w:left w:val="single" w:sz="8" w:space="0" w:color="auto"/>
              <w:bottom w:val="single" w:sz="4" w:space="0" w:color="000000"/>
              <w:right w:val="single" w:sz="8" w:space="0" w:color="auto"/>
            </w:tcBorders>
            <w:vAlign w:val="center"/>
            <w:hideMark/>
          </w:tcPr>
          <w:p w:rsidR="008452A2" w:rsidRPr="008452A2" w:rsidRDefault="008452A2" w:rsidP="008452A2">
            <w:pPr>
              <w:spacing w:after="0" w:line="240" w:lineRule="auto"/>
              <w:rPr>
                <w:rFonts w:ascii="Calibri" w:eastAsia="Times New Roman" w:hAnsi="Calibri" w:cs="Times New Roman"/>
                <w:lang w:eastAsia="fr-FR"/>
              </w:rPr>
            </w:pPr>
          </w:p>
        </w:tc>
        <w:tc>
          <w:tcPr>
            <w:tcW w:w="6695" w:type="dxa"/>
            <w:vMerge/>
            <w:tcBorders>
              <w:top w:val="single" w:sz="8" w:space="0" w:color="auto"/>
              <w:left w:val="single" w:sz="8" w:space="0" w:color="auto"/>
              <w:bottom w:val="single" w:sz="4" w:space="0" w:color="000000"/>
              <w:right w:val="single" w:sz="8" w:space="0" w:color="auto"/>
            </w:tcBorders>
            <w:vAlign w:val="center"/>
            <w:hideMark/>
          </w:tcPr>
          <w:p w:rsidR="008452A2" w:rsidRPr="008452A2" w:rsidRDefault="008452A2" w:rsidP="008452A2">
            <w:pPr>
              <w:spacing w:after="0" w:line="240" w:lineRule="auto"/>
              <w:rPr>
                <w:rFonts w:ascii="Calibri" w:eastAsia="Times New Roman" w:hAnsi="Calibri" w:cs="Times New Roman"/>
                <w:lang w:eastAsia="fr-FR"/>
              </w:rPr>
            </w:pPr>
          </w:p>
        </w:tc>
      </w:tr>
      <w:tr w:rsidR="008452A2" w:rsidRPr="008452A2" w:rsidTr="00B37C47">
        <w:trPr>
          <w:trHeight w:val="975"/>
        </w:trPr>
        <w:tc>
          <w:tcPr>
            <w:tcW w:w="2040" w:type="dxa"/>
            <w:vMerge/>
            <w:tcBorders>
              <w:top w:val="single" w:sz="8" w:space="0" w:color="auto"/>
              <w:left w:val="single" w:sz="8" w:space="0" w:color="auto"/>
              <w:bottom w:val="single" w:sz="8" w:space="0" w:color="000000"/>
              <w:right w:val="single" w:sz="8" w:space="0" w:color="auto"/>
            </w:tcBorders>
            <w:vAlign w:val="center"/>
            <w:hideMark/>
          </w:tcPr>
          <w:p w:rsidR="008452A2" w:rsidRPr="008452A2" w:rsidRDefault="008452A2" w:rsidP="008452A2">
            <w:pPr>
              <w:spacing w:after="0" w:line="240" w:lineRule="auto"/>
              <w:rPr>
                <w:rFonts w:ascii="Calibri" w:eastAsia="Times New Roman" w:hAnsi="Calibri" w:cs="Times New Roman"/>
                <w:lang w:eastAsia="fr-FR"/>
              </w:rPr>
            </w:pPr>
          </w:p>
        </w:tc>
        <w:tc>
          <w:tcPr>
            <w:tcW w:w="2511" w:type="dxa"/>
            <w:tcBorders>
              <w:top w:val="nil"/>
              <w:left w:val="nil"/>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Informations épidémiologiques</w:t>
            </w:r>
          </w:p>
        </w:tc>
        <w:tc>
          <w:tcPr>
            <w:tcW w:w="2661" w:type="dxa"/>
            <w:tcBorders>
              <w:top w:val="nil"/>
              <w:left w:val="nil"/>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Résultats d'enquêtes épidémiologiques ponctuelles avec précisions spatio-temporelles, données collectées en  continu dans le cadre d'un observatoire avec résultats accessibles en ligne … </w:t>
            </w:r>
          </w:p>
        </w:tc>
        <w:tc>
          <w:tcPr>
            <w:tcW w:w="6695" w:type="dxa"/>
            <w:tcBorders>
              <w:top w:val="nil"/>
              <w:left w:val="nil"/>
              <w:bottom w:val="single" w:sz="8" w:space="0" w:color="auto"/>
              <w:right w:val="single" w:sz="8" w:space="0" w:color="auto"/>
            </w:tcBorders>
            <w:shd w:val="clear" w:color="auto" w:fill="auto"/>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Oui</w:t>
            </w:r>
          </w:p>
        </w:tc>
      </w:tr>
      <w:tr w:rsidR="008452A2" w:rsidRPr="008452A2" w:rsidTr="00B37C47">
        <w:trPr>
          <w:trHeight w:val="2865"/>
        </w:trPr>
        <w:tc>
          <w:tcPr>
            <w:tcW w:w="2040" w:type="dxa"/>
            <w:vMerge w:val="restart"/>
            <w:tcBorders>
              <w:top w:val="nil"/>
              <w:left w:val="single" w:sz="8" w:space="0" w:color="auto"/>
              <w:bottom w:val="single" w:sz="8" w:space="0" w:color="000000"/>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Performances  du réactif</w:t>
            </w:r>
          </w:p>
        </w:tc>
        <w:tc>
          <w:tcPr>
            <w:tcW w:w="2511" w:type="dxa"/>
            <w:tcBorders>
              <w:top w:val="nil"/>
              <w:left w:val="nil"/>
              <w:bottom w:val="single" w:sz="4" w:space="0" w:color="auto"/>
              <w:right w:val="single" w:sz="8" w:space="0" w:color="auto"/>
            </w:tcBorders>
            <w:shd w:val="clear" w:color="auto" w:fill="auto"/>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Sensibilité et spécificité diagnostique</w:t>
            </w:r>
          </w:p>
        </w:tc>
        <w:tc>
          <w:tcPr>
            <w:tcW w:w="2661" w:type="dxa"/>
            <w:tcBorders>
              <w:top w:val="nil"/>
              <w:left w:val="nil"/>
              <w:bottom w:val="single" w:sz="4" w:space="0" w:color="auto"/>
              <w:right w:val="nil"/>
            </w:tcBorders>
            <w:shd w:val="clear" w:color="auto" w:fill="auto"/>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Nature du test ou des tests utilisés pour la détermination du statut des animaux positifs ou négatifs utilisés pour le calcul des Se et Sp,  Caractéristiques du panel d'échantillons ayant servi à  l'évaluation de la SeD et de la SpD  (nombre, origine géographique, stade évolutif de la maladie ou portage,  souches infectantes),      Informations sur les tests "de référence" ou de comparaison utilisés pour le la détermination du statut des animaux entrant dans le calcul des Se et Sp  (méthode de comparaison ou méthode de référence) - Identité  du ou des laboratoires ayant réalisé les analyses d'évaluation des performances -  Analyse des défauts de sensibilité et de spécificité constatés -     VPP et VPN si disponibles avec indications sur le contexte de de calcul (Prévalence)              </w:t>
            </w:r>
          </w:p>
        </w:tc>
        <w:tc>
          <w:tcPr>
            <w:tcW w:w="6695" w:type="dxa"/>
            <w:tcBorders>
              <w:top w:val="nil"/>
              <w:left w:val="single" w:sz="8" w:space="0" w:color="auto"/>
              <w:bottom w:val="nil"/>
              <w:right w:val="single" w:sz="8" w:space="0" w:color="auto"/>
            </w:tcBorders>
            <w:shd w:val="clear" w:color="auto" w:fill="auto"/>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La quantité d'informations demandées est trop important pour entrer sur une notice - info à mettre à dispo sur demande mais pas en systématique sur le mode d'emploi                        Préciser également le niveau de charge des échantillons utilisés.                                                                                                                                                                                    Estimer les intervalles de confiance.</w:t>
            </w:r>
          </w:p>
        </w:tc>
      </w:tr>
      <w:tr w:rsidR="008452A2" w:rsidRPr="008452A2" w:rsidTr="00B37C47">
        <w:trPr>
          <w:trHeight w:val="1350"/>
        </w:trPr>
        <w:tc>
          <w:tcPr>
            <w:tcW w:w="2040" w:type="dxa"/>
            <w:vMerge/>
            <w:tcBorders>
              <w:top w:val="nil"/>
              <w:left w:val="single" w:sz="8" w:space="0" w:color="auto"/>
              <w:bottom w:val="single" w:sz="8" w:space="0" w:color="000000"/>
              <w:right w:val="single" w:sz="8" w:space="0" w:color="auto"/>
            </w:tcBorders>
            <w:vAlign w:val="center"/>
            <w:hideMark/>
          </w:tcPr>
          <w:p w:rsidR="008452A2" w:rsidRPr="008452A2" w:rsidRDefault="008452A2" w:rsidP="008452A2">
            <w:pPr>
              <w:spacing w:after="0" w:line="240" w:lineRule="auto"/>
              <w:rPr>
                <w:rFonts w:ascii="Calibri" w:eastAsia="Times New Roman" w:hAnsi="Calibri" w:cs="Times New Roman"/>
                <w:lang w:eastAsia="fr-FR"/>
              </w:rPr>
            </w:pPr>
          </w:p>
        </w:tc>
        <w:tc>
          <w:tcPr>
            <w:tcW w:w="2511" w:type="dxa"/>
            <w:tcBorders>
              <w:top w:val="nil"/>
              <w:left w:val="nil"/>
              <w:bottom w:val="nil"/>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Sensibilité analytique (limite de détection - détectabilité)</w:t>
            </w:r>
          </w:p>
        </w:tc>
        <w:tc>
          <w:tcPr>
            <w:tcW w:w="2661" w:type="dxa"/>
            <w:tcBorders>
              <w:top w:val="nil"/>
              <w:left w:val="nil"/>
              <w:bottom w:val="nil"/>
              <w:right w:val="nil"/>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 Signification  / connaissance portage - maladie - dose infectante  (test de diagnostic direct).  </w:t>
            </w:r>
          </w:p>
        </w:tc>
        <w:tc>
          <w:tcPr>
            <w:tcW w:w="6695" w:type="dxa"/>
            <w:tcBorders>
              <w:top w:val="single" w:sz="4" w:space="0" w:color="auto"/>
              <w:left w:val="single" w:sz="8" w:space="0" w:color="auto"/>
              <w:bottom w:val="single" w:sz="4" w:space="0" w:color="auto"/>
              <w:right w:val="single" w:sz="8" w:space="0" w:color="auto"/>
            </w:tcBorders>
            <w:shd w:val="clear" w:color="auto" w:fill="auto"/>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La quantité d'informations demandées est trop important pour entrer sur une notice - info à mettre à dispo sur demande mais pas en systématique sur le mode d'emploi                                    Si quantification possible : Limite de quantification/linéarité  à préciser?                                                                         Comparaisons de méthodes?</w:t>
            </w:r>
          </w:p>
        </w:tc>
      </w:tr>
      <w:tr w:rsidR="008452A2" w:rsidRPr="008452A2" w:rsidTr="00B37C47">
        <w:trPr>
          <w:trHeight w:val="1710"/>
        </w:trPr>
        <w:tc>
          <w:tcPr>
            <w:tcW w:w="2040" w:type="dxa"/>
            <w:vMerge/>
            <w:tcBorders>
              <w:top w:val="nil"/>
              <w:left w:val="single" w:sz="8" w:space="0" w:color="auto"/>
              <w:bottom w:val="single" w:sz="8" w:space="0" w:color="000000"/>
              <w:right w:val="single" w:sz="8" w:space="0" w:color="auto"/>
            </w:tcBorders>
            <w:vAlign w:val="center"/>
            <w:hideMark/>
          </w:tcPr>
          <w:p w:rsidR="008452A2" w:rsidRPr="008452A2" w:rsidRDefault="008452A2" w:rsidP="008452A2">
            <w:pPr>
              <w:spacing w:after="0" w:line="240" w:lineRule="auto"/>
              <w:rPr>
                <w:rFonts w:ascii="Calibri" w:eastAsia="Times New Roman" w:hAnsi="Calibri" w:cs="Times New Roman"/>
                <w:lang w:eastAsia="fr-FR"/>
              </w:rPr>
            </w:pPr>
          </w:p>
        </w:tc>
        <w:tc>
          <w:tcPr>
            <w:tcW w:w="2511" w:type="dxa"/>
            <w:tcBorders>
              <w:top w:val="single" w:sz="4" w:space="0" w:color="auto"/>
              <w:left w:val="nil"/>
              <w:bottom w:val="nil"/>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Inclusivité - Exclusivité </w:t>
            </w:r>
          </w:p>
        </w:tc>
        <w:tc>
          <w:tcPr>
            <w:tcW w:w="2661" w:type="dxa"/>
            <w:tcBorders>
              <w:top w:val="single" w:sz="4" w:space="0" w:color="auto"/>
              <w:left w:val="nil"/>
              <w:bottom w:val="nil"/>
              <w:right w:val="nil"/>
            </w:tcBorders>
            <w:shd w:val="clear" w:color="auto" w:fill="auto"/>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 Aptitude du test au dépistage des infections par les différentes souches  -   Description des antigénicités croisées connues - Résultats des tests avec des animaux infectés par des agents pathogènes apparentés à celui recherché (i.e même famille ou sous famille virale) ... </w:t>
            </w:r>
          </w:p>
        </w:tc>
        <w:tc>
          <w:tcPr>
            <w:tcW w:w="6695" w:type="dxa"/>
            <w:tcBorders>
              <w:top w:val="nil"/>
              <w:left w:val="single" w:sz="8" w:space="0" w:color="auto"/>
              <w:bottom w:val="single" w:sz="4" w:space="0" w:color="auto"/>
              <w:right w:val="single" w:sz="8" w:space="0" w:color="auto"/>
            </w:tcBorders>
            <w:shd w:val="clear" w:color="auto" w:fill="auto"/>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La quantité  demandées est trop important pour entrer sur une notice - info à mettre à dispo sur demande mais pas en systématique sur le mode d'emploi                                                                       oui ( Pour inclusivité : préciser la méthode utilisée pour connaitre le statut des échantillons constituant le panel testé. Pour l'exclusivité : tester également des agents pathogènes se trouvant dans la même niche écologique)</w:t>
            </w:r>
          </w:p>
        </w:tc>
      </w:tr>
      <w:tr w:rsidR="008452A2" w:rsidRPr="008452A2" w:rsidTr="00B37C47">
        <w:trPr>
          <w:trHeight w:val="1800"/>
        </w:trPr>
        <w:tc>
          <w:tcPr>
            <w:tcW w:w="2040" w:type="dxa"/>
            <w:vMerge/>
            <w:tcBorders>
              <w:top w:val="nil"/>
              <w:left w:val="single" w:sz="8" w:space="0" w:color="auto"/>
              <w:bottom w:val="single" w:sz="8" w:space="0" w:color="000000"/>
              <w:right w:val="single" w:sz="8" w:space="0" w:color="auto"/>
            </w:tcBorders>
            <w:vAlign w:val="center"/>
            <w:hideMark/>
          </w:tcPr>
          <w:p w:rsidR="008452A2" w:rsidRPr="008452A2" w:rsidRDefault="008452A2" w:rsidP="008452A2">
            <w:pPr>
              <w:spacing w:after="0" w:line="240" w:lineRule="auto"/>
              <w:rPr>
                <w:rFonts w:ascii="Calibri" w:eastAsia="Times New Roman" w:hAnsi="Calibri" w:cs="Times New Roman"/>
                <w:lang w:eastAsia="fr-FR"/>
              </w:rPr>
            </w:pPr>
          </w:p>
        </w:tc>
        <w:tc>
          <w:tcPr>
            <w:tcW w:w="2511" w:type="dxa"/>
            <w:tcBorders>
              <w:top w:val="single" w:sz="4" w:space="0" w:color="auto"/>
              <w:left w:val="nil"/>
              <w:bottom w:val="nil"/>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Répétabilité,  reproductibilité intralaboratoire( fidélité intermédiaire), reproductibilité interlaboratoire</w:t>
            </w:r>
          </w:p>
        </w:tc>
        <w:tc>
          <w:tcPr>
            <w:tcW w:w="2661" w:type="dxa"/>
            <w:tcBorders>
              <w:top w:val="single" w:sz="4" w:space="0" w:color="auto"/>
              <w:left w:val="nil"/>
              <w:bottom w:val="single" w:sz="4" w:space="0" w:color="auto"/>
              <w:right w:val="nil"/>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Coefficient de variation</w:t>
            </w:r>
          </w:p>
        </w:tc>
        <w:tc>
          <w:tcPr>
            <w:tcW w:w="6695" w:type="dxa"/>
            <w:tcBorders>
              <w:top w:val="nil"/>
              <w:left w:val="single" w:sz="8" w:space="0" w:color="auto"/>
              <w:bottom w:val="single" w:sz="4" w:space="0" w:color="auto"/>
              <w:right w:val="single" w:sz="8" w:space="0" w:color="auto"/>
            </w:tcBorders>
            <w:shd w:val="clear" w:color="auto" w:fill="auto"/>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La quantité d'informations demandées est trop important pour entrer sur une notice - info à mettre à dispo sur demande mais pas en systématique sur le mode d'emploi                                  oui (Description du panel utilisé) et à réaliser sur les différentes matrices potentiellement utilisables et comparaisons</w:t>
            </w:r>
          </w:p>
        </w:tc>
      </w:tr>
      <w:tr w:rsidR="008452A2" w:rsidRPr="008452A2" w:rsidTr="00B37C47">
        <w:trPr>
          <w:trHeight w:val="1740"/>
        </w:trPr>
        <w:tc>
          <w:tcPr>
            <w:tcW w:w="2040" w:type="dxa"/>
            <w:vMerge/>
            <w:tcBorders>
              <w:top w:val="nil"/>
              <w:left w:val="single" w:sz="8" w:space="0" w:color="auto"/>
              <w:bottom w:val="single" w:sz="8" w:space="0" w:color="000000"/>
              <w:right w:val="single" w:sz="8" w:space="0" w:color="auto"/>
            </w:tcBorders>
            <w:vAlign w:val="center"/>
            <w:hideMark/>
          </w:tcPr>
          <w:p w:rsidR="008452A2" w:rsidRPr="008452A2" w:rsidRDefault="008452A2" w:rsidP="008452A2">
            <w:pPr>
              <w:spacing w:after="0" w:line="240" w:lineRule="auto"/>
              <w:rPr>
                <w:rFonts w:ascii="Calibri" w:eastAsia="Times New Roman" w:hAnsi="Calibri" w:cs="Times New Roman"/>
                <w:lang w:eastAsia="fr-FR"/>
              </w:rPr>
            </w:pPr>
          </w:p>
        </w:tc>
        <w:tc>
          <w:tcPr>
            <w:tcW w:w="2511" w:type="dxa"/>
            <w:tcBorders>
              <w:top w:val="single" w:sz="4" w:space="0" w:color="auto"/>
              <w:left w:val="nil"/>
              <w:bottom w:val="nil"/>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Loi dose effet  ? </w:t>
            </w:r>
          </w:p>
        </w:tc>
        <w:tc>
          <w:tcPr>
            <w:tcW w:w="2661" w:type="dxa"/>
            <w:tcBorders>
              <w:top w:val="nil"/>
              <w:left w:val="nil"/>
              <w:bottom w:val="nil"/>
              <w:right w:val="nil"/>
            </w:tcBorders>
            <w:shd w:val="clear" w:color="auto" w:fill="auto"/>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c>
          <w:tcPr>
            <w:tcW w:w="6695" w:type="dxa"/>
            <w:tcBorders>
              <w:top w:val="nil"/>
              <w:left w:val="single" w:sz="8" w:space="0" w:color="auto"/>
              <w:bottom w:val="single" w:sz="4" w:space="0" w:color="auto"/>
              <w:right w:val="single" w:sz="8" w:space="0" w:color="auto"/>
            </w:tcBorders>
            <w:shd w:val="clear" w:color="auto" w:fill="auto"/>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Réserve sur cette demande :  La plupart des tests rapides sont de type POS ou NEG ("black or white"); un signal est détecté, l'échantillon est POS (ou NEG si competition). La linéarité de la réponse en fonction de la concentration de l'analyte est rarement  bonne.Informations indispensables pour l'utilisateur du kit de diagnostic rapide.</w:t>
            </w:r>
          </w:p>
        </w:tc>
      </w:tr>
      <w:tr w:rsidR="008452A2" w:rsidRPr="008452A2" w:rsidTr="00B37C47">
        <w:trPr>
          <w:trHeight w:val="2475"/>
        </w:trPr>
        <w:tc>
          <w:tcPr>
            <w:tcW w:w="2040" w:type="dxa"/>
            <w:vMerge/>
            <w:tcBorders>
              <w:top w:val="nil"/>
              <w:left w:val="single" w:sz="8" w:space="0" w:color="auto"/>
              <w:bottom w:val="single" w:sz="8" w:space="0" w:color="000000"/>
              <w:right w:val="single" w:sz="8" w:space="0" w:color="auto"/>
            </w:tcBorders>
            <w:vAlign w:val="center"/>
            <w:hideMark/>
          </w:tcPr>
          <w:p w:rsidR="008452A2" w:rsidRPr="008452A2" w:rsidRDefault="008452A2" w:rsidP="008452A2">
            <w:pPr>
              <w:spacing w:after="0" w:line="240" w:lineRule="auto"/>
              <w:rPr>
                <w:rFonts w:ascii="Calibri" w:eastAsia="Times New Roman" w:hAnsi="Calibri" w:cs="Times New Roman"/>
                <w:lang w:eastAsia="fr-FR"/>
              </w:rPr>
            </w:pPr>
          </w:p>
        </w:tc>
        <w:tc>
          <w:tcPr>
            <w:tcW w:w="2511" w:type="dxa"/>
            <w:tcBorders>
              <w:top w:val="single" w:sz="4" w:space="0" w:color="auto"/>
              <w:left w:val="nil"/>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Type de matrice pouvant être soumise à l'analyse</w:t>
            </w:r>
          </w:p>
        </w:tc>
        <w:tc>
          <w:tcPr>
            <w:tcW w:w="2661" w:type="dxa"/>
            <w:tcBorders>
              <w:top w:val="single" w:sz="4" w:space="0" w:color="auto"/>
              <w:left w:val="nil"/>
              <w:bottom w:val="single" w:sz="8" w:space="0" w:color="auto"/>
              <w:right w:val="nil"/>
            </w:tcBorders>
            <w:shd w:val="clear" w:color="auto" w:fill="auto"/>
            <w:hideMark/>
          </w:tcPr>
          <w:p w:rsidR="008452A2" w:rsidRPr="008452A2" w:rsidRDefault="00B37C47" w:rsidP="008452A2">
            <w:pPr>
              <w:spacing w:after="0" w:line="240" w:lineRule="auto"/>
              <w:rPr>
                <w:rFonts w:ascii="Calibri" w:eastAsia="Times New Roman" w:hAnsi="Calibri" w:cs="Times New Roman"/>
                <w:lang w:eastAsia="fr-FR"/>
              </w:rPr>
            </w:pPr>
            <w:r>
              <w:rPr>
                <w:rFonts w:ascii="Calibri" w:eastAsia="Times New Roman" w:hAnsi="Calibri" w:cs="Times New Roman"/>
                <w:lang w:eastAsia="fr-FR"/>
              </w:rPr>
              <w:t>M</w:t>
            </w:r>
            <w:r w:rsidR="008452A2" w:rsidRPr="008452A2">
              <w:rPr>
                <w:rFonts w:ascii="Calibri" w:eastAsia="Times New Roman" w:hAnsi="Calibri" w:cs="Times New Roman"/>
                <w:lang w:eastAsia="fr-FR"/>
              </w:rPr>
              <w:t xml:space="preserve">atrices utilisables pour le diagnostic (classement par ordre de recommandation), variabilité des performances du test en fonction du stade évolutif - Possibilité ou non d'utiliser le test pour d' autres espèces  susceptibles d'être infectée par le même virus, la même bactérie  </w:t>
            </w:r>
          </w:p>
        </w:tc>
        <w:tc>
          <w:tcPr>
            <w:tcW w:w="6695" w:type="dxa"/>
            <w:tcBorders>
              <w:top w:val="nil"/>
              <w:left w:val="single" w:sz="8" w:space="0" w:color="auto"/>
              <w:bottom w:val="single" w:sz="8" w:space="0" w:color="auto"/>
              <w:right w:val="single" w:sz="8" w:space="0" w:color="auto"/>
            </w:tcBorders>
            <w:shd w:val="clear" w:color="auto" w:fill="auto"/>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 Des données de validation doivent être fournies pour chaque matrice utilisable. En cas de performances différentes entre matrices, celles-ci doivent être indiquées pour les matrices respectives.Informations indispensables pour l'utilisateur du kit de diagnostic rapide.                 oui (De plus si le choix des échantillons suivant réglementations nationales, régionales ou locales en vigueur : à préciser)                                                                                                                          Animal vivant vs animal mort. Conservation des matrices. Règles de prélèvement</w:t>
            </w:r>
          </w:p>
        </w:tc>
      </w:tr>
      <w:tr w:rsidR="008452A2" w:rsidRPr="008452A2" w:rsidTr="00B37C47">
        <w:trPr>
          <w:trHeight w:val="825"/>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Précautions d'emploi (HS du manipulateur)</w:t>
            </w:r>
          </w:p>
        </w:tc>
        <w:tc>
          <w:tcPr>
            <w:tcW w:w="2511" w:type="dxa"/>
            <w:tcBorders>
              <w:top w:val="nil"/>
              <w:left w:val="nil"/>
              <w:bottom w:val="single" w:sz="8" w:space="0" w:color="auto"/>
              <w:right w:val="single" w:sz="8" w:space="0" w:color="auto"/>
            </w:tcBorders>
            <w:shd w:val="clear" w:color="auto" w:fill="auto"/>
            <w:noWrap/>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Protection de l'utilisateur - Modalités d'élimination des déchets </w:t>
            </w:r>
          </w:p>
        </w:tc>
        <w:tc>
          <w:tcPr>
            <w:tcW w:w="2661" w:type="dxa"/>
            <w:tcBorders>
              <w:top w:val="nil"/>
              <w:left w:val="nil"/>
              <w:bottom w:val="single" w:sz="8" w:space="0" w:color="auto"/>
              <w:right w:val="single" w:sz="8" w:space="0" w:color="auto"/>
            </w:tcBorders>
            <w:shd w:val="clear" w:color="auto" w:fill="auto"/>
            <w:noWrap/>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Protection de l'utilisateur - Elimination des déchets </w:t>
            </w:r>
          </w:p>
        </w:tc>
        <w:tc>
          <w:tcPr>
            <w:tcW w:w="6695" w:type="dxa"/>
            <w:tcBorders>
              <w:top w:val="nil"/>
              <w:left w:val="nil"/>
              <w:bottom w:val="single" w:sz="8" w:space="0" w:color="auto"/>
              <w:right w:val="single" w:sz="8" w:space="0" w:color="auto"/>
            </w:tcBorders>
            <w:shd w:val="clear" w:color="auto" w:fill="auto"/>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utile ,réglementé                                                                                                                                                           oui (fournir fiches de données de sécurité)</w:t>
            </w:r>
          </w:p>
        </w:tc>
      </w:tr>
      <w:tr w:rsidR="008452A2" w:rsidRPr="008452A2" w:rsidTr="00B37C47">
        <w:trPr>
          <w:trHeight w:val="1335"/>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Conditions limites d'emploi (Robustesse)</w:t>
            </w:r>
          </w:p>
        </w:tc>
        <w:tc>
          <w:tcPr>
            <w:tcW w:w="2511" w:type="dxa"/>
            <w:tcBorders>
              <w:top w:val="nil"/>
              <w:left w:val="nil"/>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Température, hygrométrie, temps de contact, temps de lecture</w:t>
            </w:r>
          </w:p>
        </w:tc>
        <w:tc>
          <w:tcPr>
            <w:tcW w:w="2661" w:type="dxa"/>
            <w:tcBorders>
              <w:top w:val="nil"/>
              <w:left w:val="nil"/>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Le protocole technique  doit préciser clairement les conditions opératoires limites (valeur +/- écart tolérable). Proscrire l'emploi par exemple de "température ambiante"</w:t>
            </w:r>
          </w:p>
        </w:tc>
        <w:tc>
          <w:tcPr>
            <w:tcW w:w="6695" w:type="dxa"/>
            <w:tcBorders>
              <w:top w:val="nil"/>
              <w:left w:val="nil"/>
              <w:bottom w:val="single" w:sz="8" w:space="0" w:color="auto"/>
              <w:right w:val="single" w:sz="8" w:space="0" w:color="auto"/>
            </w:tcBorders>
            <w:shd w:val="clear" w:color="auto" w:fill="auto"/>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utile, préciser limites et borner                                                                                                                  Résultats des tests de robustesse à préciser</w:t>
            </w:r>
          </w:p>
        </w:tc>
      </w:tr>
      <w:tr w:rsidR="008452A2" w:rsidRPr="008452A2" w:rsidTr="00B37C47">
        <w:trPr>
          <w:trHeight w:val="630"/>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Conditions de conservation  du réactif</w:t>
            </w:r>
          </w:p>
        </w:tc>
        <w:tc>
          <w:tcPr>
            <w:tcW w:w="2511" w:type="dxa"/>
            <w:tcBorders>
              <w:top w:val="nil"/>
              <w:left w:val="nil"/>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Température, lumière, hygrométrie … </w:t>
            </w:r>
          </w:p>
        </w:tc>
        <w:tc>
          <w:tcPr>
            <w:tcW w:w="2661" w:type="dxa"/>
            <w:tcBorders>
              <w:top w:val="nil"/>
              <w:left w:val="nil"/>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c>
          <w:tcPr>
            <w:tcW w:w="6695" w:type="dxa"/>
            <w:tcBorders>
              <w:top w:val="nil"/>
              <w:left w:val="nil"/>
              <w:bottom w:val="single" w:sz="8" w:space="0" w:color="auto"/>
              <w:right w:val="single" w:sz="8" w:space="0" w:color="auto"/>
            </w:tcBorders>
            <w:shd w:val="clear" w:color="auto" w:fill="auto"/>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indispensable</w:t>
            </w:r>
          </w:p>
        </w:tc>
      </w:tr>
      <w:tr w:rsidR="008452A2" w:rsidRPr="008452A2" w:rsidTr="00B37C47">
        <w:trPr>
          <w:trHeight w:val="1035"/>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c>
          <w:tcPr>
            <w:tcW w:w="2511" w:type="dxa"/>
            <w:tcBorders>
              <w:top w:val="nil"/>
              <w:left w:val="nil"/>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Contaminations</w:t>
            </w:r>
          </w:p>
        </w:tc>
        <w:tc>
          <w:tcPr>
            <w:tcW w:w="2661" w:type="dxa"/>
            <w:tcBorders>
              <w:top w:val="nil"/>
              <w:left w:val="nil"/>
              <w:bottom w:val="single" w:sz="8" w:space="0" w:color="auto"/>
              <w:right w:val="nil"/>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Définir les points critiques de la méthode  susceptibles d'engendrer des phénomènes de contamination</w:t>
            </w:r>
          </w:p>
        </w:tc>
        <w:tc>
          <w:tcPr>
            <w:tcW w:w="6695" w:type="dxa"/>
            <w:tcBorders>
              <w:top w:val="nil"/>
              <w:left w:val="single" w:sz="8" w:space="0" w:color="auto"/>
              <w:bottom w:val="single" w:sz="8" w:space="0" w:color="auto"/>
              <w:right w:val="single" w:sz="8" w:space="0" w:color="auto"/>
            </w:tcBorders>
            <w:shd w:val="clear" w:color="auto" w:fill="auto"/>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r>
      <w:tr w:rsidR="008452A2" w:rsidRPr="008452A2" w:rsidTr="00B37C47">
        <w:trPr>
          <w:trHeight w:val="630"/>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c>
          <w:tcPr>
            <w:tcW w:w="2511" w:type="dxa"/>
            <w:tcBorders>
              <w:top w:val="nil"/>
              <w:left w:val="nil"/>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Conduite à tenir en cas de résultats positifs ou ininterprétables?</w:t>
            </w:r>
          </w:p>
        </w:tc>
        <w:tc>
          <w:tcPr>
            <w:tcW w:w="2661" w:type="dxa"/>
            <w:tcBorders>
              <w:top w:val="nil"/>
              <w:left w:val="nil"/>
              <w:bottom w:val="single" w:sz="8" w:space="0" w:color="auto"/>
              <w:right w:val="nil"/>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c>
          <w:tcPr>
            <w:tcW w:w="6695" w:type="dxa"/>
            <w:tcBorders>
              <w:top w:val="nil"/>
              <w:left w:val="single" w:sz="8" w:space="0" w:color="auto"/>
              <w:bottom w:val="single" w:sz="8" w:space="0" w:color="auto"/>
              <w:right w:val="single" w:sz="8" w:space="0" w:color="auto"/>
            </w:tcBorders>
            <w:shd w:val="clear" w:color="auto" w:fill="auto"/>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r>
      <w:tr w:rsidR="008452A2" w:rsidRPr="008452A2" w:rsidTr="00B37C47">
        <w:trPr>
          <w:trHeight w:val="915"/>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Références bibliographiques </w:t>
            </w:r>
          </w:p>
        </w:tc>
        <w:tc>
          <w:tcPr>
            <w:tcW w:w="2511" w:type="dxa"/>
            <w:tcBorders>
              <w:top w:val="nil"/>
              <w:left w:val="nil"/>
              <w:bottom w:val="single" w:sz="8" w:space="0" w:color="auto"/>
              <w:right w:val="single" w:sz="8" w:space="0" w:color="auto"/>
            </w:tcBorders>
            <w:shd w:val="clear" w:color="auto" w:fill="auto"/>
            <w:vAlign w:val="bottom"/>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c>
          <w:tcPr>
            <w:tcW w:w="2661" w:type="dxa"/>
            <w:tcBorders>
              <w:top w:val="nil"/>
              <w:left w:val="nil"/>
              <w:bottom w:val="single" w:sz="8" w:space="0" w:color="auto"/>
              <w:right w:val="single" w:sz="8" w:space="0" w:color="auto"/>
            </w:tcBorders>
            <w:shd w:val="clear" w:color="auto" w:fill="auto"/>
            <w:noWrap/>
            <w:vAlign w:val="center"/>
            <w:hideMark/>
          </w:tcPr>
          <w:p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Utiles si  facilement accessibles et réactualisées </w:t>
            </w:r>
          </w:p>
        </w:tc>
        <w:tc>
          <w:tcPr>
            <w:tcW w:w="6695" w:type="dxa"/>
            <w:tcBorders>
              <w:top w:val="nil"/>
              <w:left w:val="nil"/>
              <w:bottom w:val="single" w:sz="8" w:space="0" w:color="auto"/>
              <w:right w:val="single" w:sz="8" w:space="0" w:color="auto"/>
            </w:tcBorders>
            <w:shd w:val="clear" w:color="auto" w:fill="auto"/>
            <w:hideMark/>
          </w:tcPr>
          <w:p w:rsidR="008452A2" w:rsidRPr="008452A2" w:rsidRDefault="00B37C47" w:rsidP="008452A2">
            <w:pPr>
              <w:spacing w:after="0" w:line="240" w:lineRule="auto"/>
              <w:rPr>
                <w:rFonts w:ascii="Calibri" w:eastAsia="Times New Roman" w:hAnsi="Calibri" w:cs="Times New Roman"/>
                <w:lang w:eastAsia="fr-FR"/>
              </w:rPr>
            </w:pPr>
            <w:r>
              <w:rPr>
                <w:rFonts w:ascii="Calibri" w:eastAsia="Times New Roman" w:hAnsi="Calibri" w:cs="Times New Roman"/>
                <w:lang w:eastAsia="fr-FR"/>
              </w:rPr>
              <w:t>Dispo sur demande, pas forcé</w:t>
            </w:r>
            <w:r w:rsidR="008452A2" w:rsidRPr="008452A2">
              <w:rPr>
                <w:rFonts w:ascii="Calibri" w:eastAsia="Times New Roman" w:hAnsi="Calibri" w:cs="Times New Roman"/>
                <w:lang w:eastAsia="fr-FR"/>
              </w:rPr>
              <w:t>ment  nécessaire</w:t>
            </w:r>
          </w:p>
        </w:tc>
      </w:tr>
    </w:tbl>
    <w:p w:rsidR="008452A2" w:rsidRDefault="008452A2" w:rsidP="00062556">
      <w:pPr>
        <w:jc w:val="both"/>
        <w:rPr>
          <w:i/>
        </w:rPr>
      </w:pPr>
    </w:p>
    <w:p w:rsidR="008452A2" w:rsidRDefault="008452A2" w:rsidP="00062556">
      <w:pPr>
        <w:jc w:val="both"/>
        <w:rPr>
          <w:i/>
        </w:rPr>
      </w:pPr>
    </w:p>
    <w:p w:rsidR="008452A2" w:rsidRPr="00F63F93" w:rsidRDefault="008452A2" w:rsidP="00062556">
      <w:pPr>
        <w:jc w:val="both"/>
        <w:rPr>
          <w:i/>
          <w:u w:val="single"/>
        </w:rPr>
      </w:pPr>
      <w:r w:rsidRPr="00F63F93">
        <w:rPr>
          <w:i/>
          <w:u w:val="single"/>
        </w:rPr>
        <w:t xml:space="preserve">Annexe 2 : Exemples de tests rapides disponibles pour la détection de DS pouvant faire l’objet de démarches réglementaires </w:t>
      </w:r>
    </w:p>
    <w:tbl>
      <w:tblPr>
        <w:tblW w:w="13104" w:type="dxa"/>
        <w:tblCellMar>
          <w:left w:w="0" w:type="dxa"/>
          <w:right w:w="0" w:type="dxa"/>
        </w:tblCellMar>
        <w:tblLook w:val="0600" w:firstRow="0" w:lastRow="0" w:firstColumn="0" w:lastColumn="0" w:noHBand="1" w:noVBand="1"/>
      </w:tblPr>
      <w:tblGrid>
        <w:gridCol w:w="2484"/>
        <w:gridCol w:w="3386"/>
        <w:gridCol w:w="1803"/>
        <w:gridCol w:w="4529"/>
        <w:gridCol w:w="902"/>
      </w:tblGrid>
      <w:tr w:rsidR="008452A2" w:rsidRPr="008452A2" w:rsidTr="00B37C47">
        <w:trPr>
          <w:trHeight w:val="432"/>
        </w:trPr>
        <w:tc>
          <w:tcPr>
            <w:tcW w:w="248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452A2" w:rsidRPr="008452A2" w:rsidRDefault="008452A2" w:rsidP="008452A2">
            <w:pPr>
              <w:jc w:val="both"/>
              <w:rPr>
                <w:i/>
                <w:sz w:val="20"/>
              </w:rPr>
            </w:pPr>
            <w:r w:rsidRPr="008452A2">
              <w:rPr>
                <w:i/>
                <w:sz w:val="20"/>
              </w:rPr>
              <w:t>Espèce</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452A2" w:rsidRPr="008452A2" w:rsidRDefault="008452A2" w:rsidP="008452A2">
            <w:pPr>
              <w:jc w:val="both"/>
              <w:rPr>
                <w:i/>
                <w:sz w:val="20"/>
              </w:rPr>
            </w:pPr>
            <w:r w:rsidRPr="008452A2">
              <w:rPr>
                <w:i/>
                <w:sz w:val="20"/>
              </w:rPr>
              <w:t>Agent pathogène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452A2" w:rsidRPr="008452A2" w:rsidRDefault="008452A2" w:rsidP="008452A2">
            <w:pPr>
              <w:jc w:val="both"/>
              <w:rPr>
                <w:i/>
                <w:sz w:val="20"/>
              </w:rPr>
            </w:pPr>
            <w:r w:rsidRPr="008452A2">
              <w:rPr>
                <w:i/>
                <w:sz w:val="20"/>
              </w:rPr>
              <w:t>Type de diagnostic</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452A2" w:rsidRPr="008452A2" w:rsidRDefault="008452A2" w:rsidP="008452A2">
            <w:pPr>
              <w:jc w:val="both"/>
              <w:rPr>
                <w:i/>
                <w:sz w:val="20"/>
              </w:rPr>
            </w:pPr>
            <w:r w:rsidRPr="008452A2">
              <w:rPr>
                <w:i/>
                <w:sz w:val="20"/>
              </w:rPr>
              <w:t>Nature du ou des prélèvements</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Statut *</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Bovin</w:t>
            </w:r>
          </w:p>
        </w:tc>
        <w:tc>
          <w:tcPr>
            <w:tcW w:w="3386"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Tuberculose</w:t>
            </w:r>
          </w:p>
        </w:tc>
        <w:tc>
          <w:tcPr>
            <w:tcW w:w="1803"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Sang total, sérum, plasma</w:t>
            </w:r>
          </w:p>
        </w:tc>
        <w:tc>
          <w:tcPr>
            <w:tcW w:w="902"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Bovins</w:t>
            </w:r>
          </w:p>
        </w:tc>
        <w:tc>
          <w:tcPr>
            <w:tcW w:w="3386"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Tuberculose</w:t>
            </w:r>
          </w:p>
        </w:tc>
        <w:tc>
          <w:tcPr>
            <w:tcW w:w="1803"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Sérum</w:t>
            </w:r>
          </w:p>
        </w:tc>
        <w:tc>
          <w:tcPr>
            <w:tcW w:w="902"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Bovins</w:t>
            </w:r>
          </w:p>
        </w:tc>
        <w:tc>
          <w:tcPr>
            <w:tcW w:w="3386"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BVD</w:t>
            </w:r>
          </w:p>
        </w:tc>
        <w:tc>
          <w:tcPr>
            <w:tcW w:w="1803"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Sang total, sérum, plasma</w:t>
            </w:r>
          </w:p>
        </w:tc>
        <w:tc>
          <w:tcPr>
            <w:tcW w:w="902"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Bovins, ovins, porcins</w:t>
            </w:r>
          </w:p>
        </w:tc>
        <w:tc>
          <w:tcPr>
            <w:tcW w:w="3386"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Fièvre aphteuse</w:t>
            </w:r>
          </w:p>
        </w:tc>
        <w:tc>
          <w:tcPr>
            <w:tcW w:w="1803"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Sang total , sérum, plasma</w:t>
            </w:r>
          </w:p>
        </w:tc>
        <w:tc>
          <w:tcPr>
            <w:tcW w:w="902"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Bv, petits ruminants, porc</w:t>
            </w:r>
          </w:p>
        </w:tc>
        <w:tc>
          <w:tcPr>
            <w:tcW w:w="3386"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Brucellose</w:t>
            </w:r>
          </w:p>
        </w:tc>
        <w:tc>
          <w:tcPr>
            <w:tcW w:w="1803"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Sang total, sérum, plasma</w:t>
            </w:r>
          </w:p>
        </w:tc>
        <w:tc>
          <w:tcPr>
            <w:tcW w:w="902"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Ruminants</w:t>
            </w:r>
          </w:p>
        </w:tc>
        <w:tc>
          <w:tcPr>
            <w:tcW w:w="3386"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Fièvre de la Vallée du Rift</w:t>
            </w:r>
          </w:p>
        </w:tc>
        <w:tc>
          <w:tcPr>
            <w:tcW w:w="1803"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B37C47" w:rsidP="008452A2">
            <w:pPr>
              <w:jc w:val="both"/>
              <w:rPr>
                <w:i/>
                <w:sz w:val="20"/>
              </w:rPr>
            </w:pPr>
            <w:r>
              <w:rPr>
                <w:i/>
                <w:sz w:val="20"/>
              </w:rPr>
              <w:t>Non disponible (</w:t>
            </w:r>
            <w:r w:rsidR="008452A2" w:rsidRPr="008452A2">
              <w:rPr>
                <w:i/>
                <w:sz w:val="20"/>
              </w:rPr>
              <w:t>Article non consultable</w:t>
            </w:r>
            <w:r>
              <w:rPr>
                <w:i/>
                <w:sz w:val="20"/>
              </w:rPr>
              <w:t xml:space="preserve"> en ligne)</w:t>
            </w:r>
          </w:p>
        </w:tc>
        <w:tc>
          <w:tcPr>
            <w:tcW w:w="902"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Ruminants</w:t>
            </w:r>
          </w:p>
        </w:tc>
        <w:tc>
          <w:tcPr>
            <w:tcW w:w="3386"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lang w:val="en-US"/>
              </w:rPr>
            </w:pPr>
            <w:r w:rsidRPr="008452A2">
              <w:rPr>
                <w:i/>
                <w:sz w:val="20"/>
                <w:lang w:val="pt-BR"/>
              </w:rPr>
              <w:t xml:space="preserve">tuberculose (M. bovis, M caprae) </w:t>
            </w:r>
          </w:p>
        </w:tc>
        <w:tc>
          <w:tcPr>
            <w:tcW w:w="1803"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Culture</w:t>
            </w:r>
          </w:p>
        </w:tc>
        <w:tc>
          <w:tcPr>
            <w:tcW w:w="902"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 xml:space="preserve">Chat </w:t>
            </w:r>
          </w:p>
        </w:tc>
        <w:tc>
          <w:tcPr>
            <w:tcW w:w="3386"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FeLV</w:t>
            </w:r>
          </w:p>
        </w:tc>
        <w:tc>
          <w:tcPr>
            <w:tcW w:w="1803"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Sérum, plasma, sang total</w:t>
            </w:r>
          </w:p>
        </w:tc>
        <w:tc>
          <w:tcPr>
            <w:tcW w:w="902"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 xml:space="preserve">Chat </w:t>
            </w:r>
          </w:p>
        </w:tc>
        <w:tc>
          <w:tcPr>
            <w:tcW w:w="3386"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FIV</w:t>
            </w:r>
          </w:p>
        </w:tc>
        <w:tc>
          <w:tcPr>
            <w:tcW w:w="1803"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Sérum, plasma, sang total</w:t>
            </w:r>
          </w:p>
        </w:tc>
        <w:tc>
          <w:tcPr>
            <w:tcW w:w="902"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 xml:space="preserve">Chat </w:t>
            </w:r>
          </w:p>
        </w:tc>
        <w:tc>
          <w:tcPr>
            <w:tcW w:w="3386"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Parvovirus (Typhus)</w:t>
            </w:r>
          </w:p>
        </w:tc>
        <w:tc>
          <w:tcPr>
            <w:tcW w:w="1803"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Fécès</w:t>
            </w:r>
          </w:p>
        </w:tc>
        <w:tc>
          <w:tcPr>
            <w:tcW w:w="902"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Chien</w:t>
            </w:r>
          </w:p>
        </w:tc>
        <w:tc>
          <w:tcPr>
            <w:tcW w:w="3386"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Adénovirus 1 (Hep de rubarth)</w:t>
            </w:r>
          </w:p>
        </w:tc>
        <w:tc>
          <w:tcPr>
            <w:tcW w:w="1803"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Sécrétion oculaire ou nasale</w:t>
            </w:r>
          </w:p>
        </w:tc>
        <w:tc>
          <w:tcPr>
            <w:tcW w:w="902"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Chien</w:t>
            </w:r>
          </w:p>
        </w:tc>
        <w:tc>
          <w:tcPr>
            <w:tcW w:w="3386"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Brucellose canine</w:t>
            </w:r>
          </w:p>
        </w:tc>
        <w:tc>
          <w:tcPr>
            <w:tcW w:w="1803"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Sérum</w:t>
            </w:r>
          </w:p>
        </w:tc>
        <w:tc>
          <w:tcPr>
            <w:tcW w:w="902"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Chien</w:t>
            </w:r>
          </w:p>
        </w:tc>
        <w:tc>
          <w:tcPr>
            <w:tcW w:w="3386"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Maladie de carré</w:t>
            </w:r>
          </w:p>
        </w:tc>
        <w:tc>
          <w:tcPr>
            <w:tcW w:w="1803"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Sécrétion oculaire ou nasale</w:t>
            </w:r>
          </w:p>
        </w:tc>
        <w:tc>
          <w:tcPr>
            <w:tcW w:w="902"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Chien</w:t>
            </w:r>
          </w:p>
        </w:tc>
        <w:tc>
          <w:tcPr>
            <w:tcW w:w="3386"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Parvovirus</w:t>
            </w:r>
          </w:p>
        </w:tc>
        <w:tc>
          <w:tcPr>
            <w:tcW w:w="1803"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Fécès</w:t>
            </w:r>
          </w:p>
        </w:tc>
        <w:tc>
          <w:tcPr>
            <w:tcW w:w="902"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Carnivores, faune sauvage</w:t>
            </w:r>
          </w:p>
        </w:tc>
        <w:tc>
          <w:tcPr>
            <w:tcW w:w="3386"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Rage</w:t>
            </w:r>
          </w:p>
        </w:tc>
        <w:tc>
          <w:tcPr>
            <w:tcW w:w="1803"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Broyat de cerveau</w:t>
            </w:r>
          </w:p>
        </w:tc>
        <w:tc>
          <w:tcPr>
            <w:tcW w:w="902"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Faune sauvage (cervidés)</w:t>
            </w:r>
          </w:p>
        </w:tc>
        <w:tc>
          <w:tcPr>
            <w:tcW w:w="3386"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Tuberculose</w:t>
            </w:r>
          </w:p>
        </w:tc>
        <w:tc>
          <w:tcPr>
            <w:tcW w:w="1803"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Sérum, plasma, sang total</w:t>
            </w:r>
          </w:p>
        </w:tc>
        <w:tc>
          <w:tcPr>
            <w:tcW w:w="902"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Faune sauvage captive (éléphant)</w:t>
            </w:r>
          </w:p>
        </w:tc>
        <w:tc>
          <w:tcPr>
            <w:tcW w:w="3386"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Tuberculose</w:t>
            </w:r>
          </w:p>
        </w:tc>
        <w:tc>
          <w:tcPr>
            <w:tcW w:w="1803"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Sérum, plasma, sang total</w:t>
            </w:r>
          </w:p>
        </w:tc>
        <w:tc>
          <w:tcPr>
            <w:tcW w:w="902"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Faune sauvage (Blaireau)</w:t>
            </w:r>
          </w:p>
        </w:tc>
        <w:tc>
          <w:tcPr>
            <w:tcW w:w="3386"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Tuberculose</w:t>
            </w:r>
          </w:p>
        </w:tc>
        <w:tc>
          <w:tcPr>
            <w:tcW w:w="1803"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Feces</w:t>
            </w:r>
          </w:p>
        </w:tc>
        <w:tc>
          <w:tcPr>
            <w:tcW w:w="902"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Porc</w:t>
            </w:r>
          </w:p>
        </w:tc>
        <w:tc>
          <w:tcPr>
            <w:tcW w:w="338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 xml:space="preserve">Grippe porcine </w:t>
            </w:r>
          </w:p>
        </w:tc>
        <w:tc>
          <w:tcPr>
            <w:tcW w:w="1803"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Sécrétion nasale et oculaire</w:t>
            </w:r>
          </w:p>
        </w:tc>
        <w:tc>
          <w:tcPr>
            <w:tcW w:w="902"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Porc</w:t>
            </w:r>
          </w:p>
        </w:tc>
        <w:tc>
          <w:tcPr>
            <w:tcW w:w="338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lang w:val="pt-BR"/>
              </w:rPr>
              <w:t>Grippe porcine  type H1,H3,N1, N2)</w:t>
            </w:r>
          </w:p>
        </w:tc>
        <w:tc>
          <w:tcPr>
            <w:tcW w:w="1803"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Sécrétion nasale et oculaire</w:t>
            </w:r>
          </w:p>
        </w:tc>
        <w:tc>
          <w:tcPr>
            <w:tcW w:w="902"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Porc</w:t>
            </w:r>
          </w:p>
        </w:tc>
        <w:tc>
          <w:tcPr>
            <w:tcW w:w="338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Peste porcine classique</w:t>
            </w:r>
          </w:p>
        </w:tc>
        <w:tc>
          <w:tcPr>
            <w:tcW w:w="1803"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Formations lymphoides, foie,</w:t>
            </w:r>
          </w:p>
        </w:tc>
        <w:tc>
          <w:tcPr>
            <w:tcW w:w="902"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 xml:space="preserve">Porcs </w:t>
            </w:r>
          </w:p>
        </w:tc>
        <w:tc>
          <w:tcPr>
            <w:tcW w:w="338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DEP</w:t>
            </w:r>
          </w:p>
        </w:tc>
        <w:tc>
          <w:tcPr>
            <w:tcW w:w="1803"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Sérum</w:t>
            </w:r>
          </w:p>
        </w:tc>
        <w:tc>
          <w:tcPr>
            <w:tcW w:w="902"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 xml:space="preserve">Porcs </w:t>
            </w:r>
          </w:p>
        </w:tc>
        <w:tc>
          <w:tcPr>
            <w:tcW w:w="338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SDRP</w:t>
            </w:r>
          </w:p>
        </w:tc>
        <w:tc>
          <w:tcPr>
            <w:tcW w:w="1803"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Sérum</w:t>
            </w:r>
          </w:p>
        </w:tc>
        <w:tc>
          <w:tcPr>
            <w:tcW w:w="902"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Volailles</w:t>
            </w:r>
          </w:p>
        </w:tc>
        <w:tc>
          <w:tcPr>
            <w:tcW w:w="3386"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 xml:space="preserve">Grippe aviaire </w:t>
            </w:r>
          </w:p>
        </w:tc>
        <w:tc>
          <w:tcPr>
            <w:tcW w:w="1803"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Fèces, écouvillon cloacal</w:t>
            </w:r>
          </w:p>
        </w:tc>
        <w:tc>
          <w:tcPr>
            <w:tcW w:w="902"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Volailles</w:t>
            </w:r>
          </w:p>
        </w:tc>
        <w:tc>
          <w:tcPr>
            <w:tcW w:w="3386"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Grippe aviaire H5</w:t>
            </w:r>
          </w:p>
        </w:tc>
        <w:tc>
          <w:tcPr>
            <w:tcW w:w="1803"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Fèces, écouvillon cloacal</w:t>
            </w:r>
          </w:p>
        </w:tc>
        <w:tc>
          <w:tcPr>
            <w:tcW w:w="902"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Volailles</w:t>
            </w:r>
          </w:p>
        </w:tc>
        <w:tc>
          <w:tcPr>
            <w:tcW w:w="3386"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Maladie de Newcastle</w:t>
            </w:r>
          </w:p>
        </w:tc>
        <w:tc>
          <w:tcPr>
            <w:tcW w:w="1803"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Ecouvillon cloacal, frottis de gorge,  organes</w:t>
            </w:r>
          </w:p>
        </w:tc>
        <w:tc>
          <w:tcPr>
            <w:tcW w:w="902"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Volailles</w:t>
            </w:r>
          </w:p>
        </w:tc>
        <w:tc>
          <w:tcPr>
            <w:tcW w:w="3386"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Salmonella enteridis</w:t>
            </w:r>
          </w:p>
        </w:tc>
        <w:tc>
          <w:tcPr>
            <w:tcW w:w="1803"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sérum</w:t>
            </w:r>
          </w:p>
        </w:tc>
        <w:tc>
          <w:tcPr>
            <w:tcW w:w="902"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Volailles</w:t>
            </w:r>
          </w:p>
        </w:tc>
        <w:tc>
          <w:tcPr>
            <w:tcW w:w="3386"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Salmonella typhimurium et enteritidis</w:t>
            </w:r>
          </w:p>
        </w:tc>
        <w:tc>
          <w:tcPr>
            <w:tcW w:w="1803"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Pas finalisé</w:t>
            </w:r>
          </w:p>
        </w:tc>
        <w:tc>
          <w:tcPr>
            <w:tcW w:w="902"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w:t>
            </w:r>
          </w:p>
        </w:tc>
      </w:tr>
      <w:tr w:rsidR="008452A2" w:rsidRPr="008452A2"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B7DEE8"/>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Cheval</w:t>
            </w:r>
          </w:p>
        </w:tc>
        <w:tc>
          <w:tcPr>
            <w:tcW w:w="3386" w:type="dxa"/>
            <w:tcBorders>
              <w:top w:val="single" w:sz="4" w:space="0" w:color="000000"/>
              <w:left w:val="single" w:sz="4" w:space="0" w:color="000000"/>
              <w:bottom w:val="single" w:sz="4" w:space="0" w:color="000000"/>
              <w:right w:val="single" w:sz="4" w:space="0" w:color="000000"/>
            </w:tcBorders>
            <w:shd w:val="clear" w:color="auto" w:fill="B7DEE8"/>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Grippe équine</w:t>
            </w:r>
          </w:p>
        </w:tc>
        <w:tc>
          <w:tcPr>
            <w:tcW w:w="1803" w:type="dxa"/>
            <w:tcBorders>
              <w:top w:val="single" w:sz="4" w:space="0" w:color="000000"/>
              <w:left w:val="single" w:sz="4" w:space="0" w:color="000000"/>
              <w:bottom w:val="single" w:sz="4" w:space="0" w:color="000000"/>
              <w:right w:val="single" w:sz="4" w:space="0" w:color="000000"/>
            </w:tcBorders>
            <w:shd w:val="clear" w:color="auto" w:fill="B7DEE8"/>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B7DEE8"/>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Prélèvements nasaux pharyngés</w:t>
            </w:r>
          </w:p>
        </w:tc>
        <w:tc>
          <w:tcPr>
            <w:tcW w:w="902" w:type="dxa"/>
            <w:tcBorders>
              <w:top w:val="single" w:sz="4" w:space="0" w:color="000000"/>
              <w:left w:val="single" w:sz="4" w:space="0" w:color="000000"/>
              <w:bottom w:val="single" w:sz="4" w:space="0" w:color="000000"/>
              <w:right w:val="single" w:sz="4" w:space="0" w:color="000000"/>
            </w:tcBorders>
            <w:shd w:val="clear" w:color="auto" w:fill="B7DEE8"/>
            <w:tcMar>
              <w:top w:w="11" w:type="dxa"/>
              <w:left w:w="11" w:type="dxa"/>
              <w:bottom w:w="0" w:type="dxa"/>
              <w:right w:w="11" w:type="dxa"/>
            </w:tcMar>
            <w:vAlign w:val="bottom"/>
            <w:hideMark/>
          </w:tcPr>
          <w:p w:rsidR="008452A2" w:rsidRPr="008452A2" w:rsidRDefault="008452A2" w:rsidP="008452A2">
            <w:pPr>
              <w:jc w:val="both"/>
              <w:rPr>
                <w:i/>
                <w:sz w:val="20"/>
              </w:rPr>
            </w:pPr>
            <w:r w:rsidRPr="008452A2">
              <w:rPr>
                <w:i/>
                <w:sz w:val="20"/>
              </w:rPr>
              <w:t>P</w:t>
            </w:r>
          </w:p>
        </w:tc>
      </w:tr>
      <w:tr w:rsidR="008452A2" w:rsidRPr="008452A2" w:rsidTr="00B37C47">
        <w:trPr>
          <w:trHeight w:val="240"/>
        </w:trPr>
        <w:tc>
          <w:tcPr>
            <w:tcW w:w="2484"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rsidR="008452A2" w:rsidRPr="008452A2" w:rsidRDefault="008452A2" w:rsidP="008452A2">
            <w:pPr>
              <w:jc w:val="both"/>
              <w:rPr>
                <w:i/>
              </w:rPr>
            </w:pPr>
          </w:p>
        </w:tc>
        <w:tc>
          <w:tcPr>
            <w:tcW w:w="3386"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rsidR="008452A2" w:rsidRPr="008452A2" w:rsidRDefault="008452A2" w:rsidP="008452A2">
            <w:pPr>
              <w:jc w:val="both"/>
              <w:rPr>
                <w:i/>
              </w:rPr>
            </w:pPr>
          </w:p>
        </w:tc>
        <w:tc>
          <w:tcPr>
            <w:tcW w:w="1803"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rsidR="008452A2" w:rsidRPr="008452A2" w:rsidRDefault="008452A2" w:rsidP="008452A2">
            <w:pPr>
              <w:jc w:val="both"/>
              <w:rPr>
                <w:i/>
              </w:rPr>
            </w:pPr>
          </w:p>
        </w:tc>
        <w:tc>
          <w:tcPr>
            <w:tcW w:w="4529"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rsidR="008452A2" w:rsidRPr="008452A2" w:rsidRDefault="008452A2" w:rsidP="008452A2">
            <w:pPr>
              <w:jc w:val="both"/>
              <w:rPr>
                <w:i/>
              </w:rPr>
            </w:pPr>
            <w:r w:rsidRPr="008452A2">
              <w:rPr>
                <w:i/>
              </w:rPr>
              <w:t>P = publié</w:t>
            </w:r>
          </w:p>
        </w:tc>
        <w:tc>
          <w:tcPr>
            <w:tcW w:w="902"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rsidR="008452A2" w:rsidRPr="008452A2" w:rsidRDefault="008452A2" w:rsidP="008452A2">
            <w:pPr>
              <w:jc w:val="both"/>
              <w:rPr>
                <w:i/>
              </w:rPr>
            </w:pPr>
          </w:p>
        </w:tc>
      </w:tr>
      <w:tr w:rsidR="008452A2" w:rsidRPr="008452A2" w:rsidTr="00B37C47">
        <w:trPr>
          <w:trHeight w:val="240"/>
        </w:trPr>
        <w:tc>
          <w:tcPr>
            <w:tcW w:w="2484" w:type="dxa"/>
            <w:tcBorders>
              <w:top w:val="nil"/>
              <w:left w:val="nil"/>
              <w:bottom w:val="nil"/>
              <w:right w:val="nil"/>
            </w:tcBorders>
            <w:shd w:val="clear" w:color="auto" w:fill="auto"/>
            <w:tcMar>
              <w:top w:w="11" w:type="dxa"/>
              <w:left w:w="11" w:type="dxa"/>
              <w:bottom w:w="0" w:type="dxa"/>
              <w:right w:w="11" w:type="dxa"/>
            </w:tcMar>
            <w:vAlign w:val="bottom"/>
            <w:hideMark/>
          </w:tcPr>
          <w:p w:rsidR="008452A2" w:rsidRPr="008452A2" w:rsidRDefault="008452A2" w:rsidP="008452A2">
            <w:pPr>
              <w:jc w:val="both"/>
              <w:rPr>
                <w:i/>
              </w:rPr>
            </w:pPr>
          </w:p>
        </w:tc>
        <w:tc>
          <w:tcPr>
            <w:tcW w:w="3386" w:type="dxa"/>
            <w:tcBorders>
              <w:top w:val="nil"/>
              <w:left w:val="nil"/>
              <w:bottom w:val="nil"/>
              <w:right w:val="nil"/>
            </w:tcBorders>
            <w:shd w:val="clear" w:color="auto" w:fill="auto"/>
            <w:tcMar>
              <w:top w:w="11" w:type="dxa"/>
              <w:left w:w="11" w:type="dxa"/>
              <w:bottom w:w="0" w:type="dxa"/>
              <w:right w:w="11" w:type="dxa"/>
            </w:tcMar>
            <w:vAlign w:val="bottom"/>
            <w:hideMark/>
          </w:tcPr>
          <w:p w:rsidR="008452A2" w:rsidRPr="008452A2" w:rsidRDefault="008452A2" w:rsidP="008452A2">
            <w:pPr>
              <w:jc w:val="both"/>
              <w:rPr>
                <w:i/>
              </w:rPr>
            </w:pPr>
          </w:p>
        </w:tc>
        <w:tc>
          <w:tcPr>
            <w:tcW w:w="1803" w:type="dxa"/>
            <w:tcBorders>
              <w:top w:val="nil"/>
              <w:left w:val="nil"/>
              <w:bottom w:val="nil"/>
              <w:right w:val="nil"/>
            </w:tcBorders>
            <w:shd w:val="clear" w:color="auto" w:fill="auto"/>
            <w:tcMar>
              <w:top w:w="11" w:type="dxa"/>
              <w:left w:w="11" w:type="dxa"/>
              <w:bottom w:w="0" w:type="dxa"/>
              <w:right w:w="11" w:type="dxa"/>
            </w:tcMar>
            <w:vAlign w:val="bottom"/>
            <w:hideMark/>
          </w:tcPr>
          <w:p w:rsidR="008452A2" w:rsidRPr="008452A2" w:rsidRDefault="008452A2" w:rsidP="008452A2">
            <w:pPr>
              <w:jc w:val="both"/>
              <w:rPr>
                <w:i/>
              </w:rPr>
            </w:pPr>
          </w:p>
        </w:tc>
        <w:tc>
          <w:tcPr>
            <w:tcW w:w="4529" w:type="dxa"/>
            <w:tcBorders>
              <w:top w:val="nil"/>
              <w:left w:val="nil"/>
              <w:bottom w:val="nil"/>
              <w:right w:val="nil"/>
            </w:tcBorders>
            <w:shd w:val="clear" w:color="auto" w:fill="auto"/>
            <w:tcMar>
              <w:top w:w="11" w:type="dxa"/>
              <w:left w:w="11" w:type="dxa"/>
              <w:bottom w:w="0" w:type="dxa"/>
              <w:right w:w="11" w:type="dxa"/>
            </w:tcMar>
            <w:vAlign w:val="bottom"/>
            <w:hideMark/>
          </w:tcPr>
          <w:p w:rsidR="008452A2" w:rsidRPr="008452A2" w:rsidRDefault="008452A2" w:rsidP="008452A2">
            <w:pPr>
              <w:jc w:val="both"/>
              <w:rPr>
                <w:i/>
              </w:rPr>
            </w:pPr>
            <w:r w:rsidRPr="008452A2">
              <w:rPr>
                <w:i/>
              </w:rPr>
              <w:t>C= commercialisé</w:t>
            </w:r>
          </w:p>
        </w:tc>
        <w:tc>
          <w:tcPr>
            <w:tcW w:w="902" w:type="dxa"/>
            <w:tcBorders>
              <w:top w:val="nil"/>
              <w:left w:val="nil"/>
              <w:bottom w:val="nil"/>
              <w:right w:val="nil"/>
            </w:tcBorders>
            <w:shd w:val="clear" w:color="auto" w:fill="auto"/>
            <w:tcMar>
              <w:top w:w="11" w:type="dxa"/>
              <w:left w:w="11" w:type="dxa"/>
              <w:bottom w:w="0" w:type="dxa"/>
              <w:right w:w="11" w:type="dxa"/>
            </w:tcMar>
            <w:vAlign w:val="bottom"/>
            <w:hideMark/>
          </w:tcPr>
          <w:p w:rsidR="008452A2" w:rsidRPr="008452A2" w:rsidRDefault="008452A2" w:rsidP="008452A2">
            <w:pPr>
              <w:jc w:val="both"/>
              <w:rPr>
                <w:i/>
              </w:rPr>
            </w:pPr>
          </w:p>
        </w:tc>
      </w:tr>
    </w:tbl>
    <w:p w:rsidR="008452A2" w:rsidRPr="00074D58" w:rsidRDefault="008452A2" w:rsidP="00062556">
      <w:pPr>
        <w:jc w:val="both"/>
        <w:rPr>
          <w:i/>
        </w:rPr>
      </w:pPr>
    </w:p>
    <w:sectPr w:rsidR="008452A2" w:rsidRPr="00074D58" w:rsidSect="00F63F9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EC" w:rsidRDefault="00B60AEC" w:rsidP="00B60AEC">
      <w:pPr>
        <w:spacing w:after="0" w:line="240" w:lineRule="auto"/>
      </w:pPr>
      <w:r>
        <w:separator/>
      </w:r>
    </w:p>
  </w:endnote>
  <w:endnote w:type="continuationSeparator" w:id="0">
    <w:p w:rsidR="00B60AEC" w:rsidRDefault="00B60AEC" w:rsidP="00B6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EC" w:rsidRDefault="00B60AE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EC" w:rsidRDefault="00B60AE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EC" w:rsidRDefault="00B60A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EC" w:rsidRDefault="00B60AEC" w:rsidP="00B60AEC">
      <w:pPr>
        <w:spacing w:after="0" w:line="240" w:lineRule="auto"/>
      </w:pPr>
      <w:r>
        <w:separator/>
      </w:r>
    </w:p>
  </w:footnote>
  <w:footnote w:type="continuationSeparator" w:id="0">
    <w:p w:rsidR="00B60AEC" w:rsidRDefault="00B60AEC" w:rsidP="00B60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EC" w:rsidRDefault="00B60AE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438046"/>
      <w:docPartObj>
        <w:docPartGallery w:val="Watermarks"/>
        <w:docPartUnique/>
      </w:docPartObj>
    </w:sdtPr>
    <w:sdtContent>
      <w:p w:rsidR="00B60AEC" w:rsidRDefault="00B60AEC">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7358" o:spid="_x0000_s2049" type="#_x0000_t136" style="position:absolute;margin-left:0;margin-top:0;width:426.25pt;height:213.1pt;rotation:315;z-index:-251657216;mso-position-horizontal:center;mso-position-horizontal-relative:margin;mso-position-vertical:center;mso-position-vertical-relative:margin" o:allowincell="f" fillcolor="#aeaaaa [2414]" stroked="f">
              <v:textpath style="font-family:&quot;calibri&quot;;font-size:1pt" string="PROJE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EC" w:rsidRDefault="00B60A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1674"/>
    <w:multiLevelType w:val="hybridMultilevel"/>
    <w:tmpl w:val="B28AF362"/>
    <w:lvl w:ilvl="0" w:tplc="D786BD18">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506326CA"/>
    <w:multiLevelType w:val="hybridMultilevel"/>
    <w:tmpl w:val="DE668816"/>
    <w:lvl w:ilvl="0" w:tplc="4B3A623A">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40"/>
    <w:rsid w:val="00023295"/>
    <w:rsid w:val="00034E05"/>
    <w:rsid w:val="00062556"/>
    <w:rsid w:val="00074D58"/>
    <w:rsid w:val="0008566C"/>
    <w:rsid w:val="001201BD"/>
    <w:rsid w:val="00152FBD"/>
    <w:rsid w:val="003111CD"/>
    <w:rsid w:val="00381DA6"/>
    <w:rsid w:val="003A117E"/>
    <w:rsid w:val="003C7405"/>
    <w:rsid w:val="003D4550"/>
    <w:rsid w:val="003E2EE7"/>
    <w:rsid w:val="003F7762"/>
    <w:rsid w:val="0044184E"/>
    <w:rsid w:val="00466166"/>
    <w:rsid w:val="00473150"/>
    <w:rsid w:val="004A743F"/>
    <w:rsid w:val="00510509"/>
    <w:rsid w:val="00511408"/>
    <w:rsid w:val="005172BC"/>
    <w:rsid w:val="00517FB7"/>
    <w:rsid w:val="005261ED"/>
    <w:rsid w:val="00591A7A"/>
    <w:rsid w:val="005D0386"/>
    <w:rsid w:val="005E6FE4"/>
    <w:rsid w:val="006319FB"/>
    <w:rsid w:val="007A548A"/>
    <w:rsid w:val="007F2693"/>
    <w:rsid w:val="008319C7"/>
    <w:rsid w:val="008452A2"/>
    <w:rsid w:val="00851110"/>
    <w:rsid w:val="00891FC4"/>
    <w:rsid w:val="008D7A6D"/>
    <w:rsid w:val="00907E83"/>
    <w:rsid w:val="009955B1"/>
    <w:rsid w:val="00A23DF9"/>
    <w:rsid w:val="00A62F1F"/>
    <w:rsid w:val="00A670E9"/>
    <w:rsid w:val="00AB5431"/>
    <w:rsid w:val="00AE44CC"/>
    <w:rsid w:val="00AF2FE3"/>
    <w:rsid w:val="00B37C47"/>
    <w:rsid w:val="00B60AEC"/>
    <w:rsid w:val="00BF0337"/>
    <w:rsid w:val="00C44C93"/>
    <w:rsid w:val="00C93E69"/>
    <w:rsid w:val="00CD1C6D"/>
    <w:rsid w:val="00CD4848"/>
    <w:rsid w:val="00D0250B"/>
    <w:rsid w:val="00D7232D"/>
    <w:rsid w:val="00D725D3"/>
    <w:rsid w:val="00E23640"/>
    <w:rsid w:val="00EF47DA"/>
    <w:rsid w:val="00F63F93"/>
    <w:rsid w:val="00F94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23DF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117E"/>
    <w:pPr>
      <w:ind w:left="720"/>
      <w:contextualSpacing/>
    </w:pPr>
  </w:style>
  <w:style w:type="character" w:customStyle="1" w:styleId="Titre1Car">
    <w:name w:val="Titre 1 Car"/>
    <w:basedOn w:val="Policepardfaut"/>
    <w:link w:val="Titre1"/>
    <w:uiPriority w:val="9"/>
    <w:rsid w:val="00A23DF9"/>
    <w:rPr>
      <w:rFonts w:asciiTheme="majorHAnsi" w:eastAsiaTheme="majorEastAsia" w:hAnsiTheme="majorHAnsi" w:cstheme="majorBidi"/>
      <w:b/>
      <w:bCs/>
      <w:color w:val="2E74B5" w:themeColor="accent1" w:themeShade="BF"/>
      <w:sz w:val="28"/>
      <w:szCs w:val="28"/>
    </w:rPr>
  </w:style>
  <w:style w:type="character" w:styleId="Marquedecommentaire">
    <w:name w:val="annotation reference"/>
    <w:basedOn w:val="Policepardfaut"/>
    <w:uiPriority w:val="99"/>
    <w:semiHidden/>
    <w:unhideWhenUsed/>
    <w:rsid w:val="00152FBD"/>
    <w:rPr>
      <w:sz w:val="16"/>
      <w:szCs w:val="16"/>
    </w:rPr>
  </w:style>
  <w:style w:type="paragraph" w:styleId="Commentaire">
    <w:name w:val="annotation text"/>
    <w:basedOn w:val="Normal"/>
    <w:link w:val="CommentaireCar"/>
    <w:uiPriority w:val="99"/>
    <w:semiHidden/>
    <w:unhideWhenUsed/>
    <w:rsid w:val="00152FBD"/>
    <w:pPr>
      <w:spacing w:line="240" w:lineRule="auto"/>
    </w:pPr>
    <w:rPr>
      <w:sz w:val="20"/>
      <w:szCs w:val="20"/>
    </w:rPr>
  </w:style>
  <w:style w:type="character" w:customStyle="1" w:styleId="CommentaireCar">
    <w:name w:val="Commentaire Car"/>
    <w:basedOn w:val="Policepardfaut"/>
    <w:link w:val="Commentaire"/>
    <w:uiPriority w:val="99"/>
    <w:semiHidden/>
    <w:rsid w:val="00152FBD"/>
    <w:rPr>
      <w:sz w:val="20"/>
      <w:szCs w:val="20"/>
    </w:rPr>
  </w:style>
  <w:style w:type="paragraph" w:styleId="Objetducommentaire">
    <w:name w:val="annotation subject"/>
    <w:basedOn w:val="Commentaire"/>
    <w:next w:val="Commentaire"/>
    <w:link w:val="ObjetducommentaireCar"/>
    <w:uiPriority w:val="99"/>
    <w:semiHidden/>
    <w:unhideWhenUsed/>
    <w:rsid w:val="00152FBD"/>
    <w:rPr>
      <w:b/>
      <w:bCs/>
    </w:rPr>
  </w:style>
  <w:style w:type="character" w:customStyle="1" w:styleId="ObjetducommentaireCar">
    <w:name w:val="Objet du commentaire Car"/>
    <w:basedOn w:val="CommentaireCar"/>
    <w:link w:val="Objetducommentaire"/>
    <w:uiPriority w:val="99"/>
    <w:semiHidden/>
    <w:rsid w:val="00152FBD"/>
    <w:rPr>
      <w:b/>
      <w:bCs/>
      <w:sz w:val="20"/>
      <w:szCs w:val="20"/>
    </w:rPr>
  </w:style>
  <w:style w:type="paragraph" w:styleId="Textedebulles">
    <w:name w:val="Balloon Text"/>
    <w:basedOn w:val="Normal"/>
    <w:link w:val="TextedebullesCar"/>
    <w:uiPriority w:val="99"/>
    <w:semiHidden/>
    <w:unhideWhenUsed/>
    <w:rsid w:val="00152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FBD"/>
    <w:rPr>
      <w:rFonts w:ascii="Tahoma" w:hAnsi="Tahoma" w:cs="Tahoma"/>
      <w:sz w:val="16"/>
      <w:szCs w:val="16"/>
    </w:rPr>
  </w:style>
  <w:style w:type="table" w:styleId="Grilledutableau">
    <w:name w:val="Table Grid"/>
    <w:basedOn w:val="TableauNormal"/>
    <w:uiPriority w:val="39"/>
    <w:rsid w:val="0007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8452A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8452A2"/>
    <w:rPr>
      <w:rFonts w:asciiTheme="majorHAnsi" w:eastAsiaTheme="majorEastAsia" w:hAnsiTheme="majorHAnsi" w:cstheme="majorBidi"/>
      <w:i/>
      <w:iCs/>
      <w:color w:val="5B9BD5" w:themeColor="accent1"/>
      <w:spacing w:val="15"/>
      <w:sz w:val="24"/>
      <w:szCs w:val="24"/>
    </w:rPr>
  </w:style>
  <w:style w:type="paragraph" w:styleId="Titre">
    <w:name w:val="Title"/>
    <w:basedOn w:val="Normal"/>
    <w:next w:val="Normal"/>
    <w:link w:val="TitreCar"/>
    <w:qFormat/>
    <w:rsid w:val="005261ED"/>
    <w:pPr>
      <w:pBdr>
        <w:bottom w:val="single" w:sz="8" w:space="4" w:color="4F81BD"/>
      </w:pBdr>
      <w:spacing w:after="300" w:line="240" w:lineRule="auto"/>
      <w:contextualSpacing/>
    </w:pPr>
    <w:rPr>
      <w:rFonts w:eastAsia="Times New Roman" w:cs="Arial"/>
      <w:spacing w:val="5"/>
      <w:kern w:val="28"/>
      <w:sz w:val="24"/>
      <w:szCs w:val="24"/>
    </w:rPr>
  </w:style>
  <w:style w:type="character" w:customStyle="1" w:styleId="TitreCar">
    <w:name w:val="Titre Car"/>
    <w:basedOn w:val="Policepardfaut"/>
    <w:link w:val="Titre"/>
    <w:rsid w:val="005261ED"/>
    <w:rPr>
      <w:rFonts w:eastAsia="Times New Roman" w:cs="Arial"/>
      <w:spacing w:val="5"/>
      <w:kern w:val="28"/>
      <w:sz w:val="24"/>
      <w:szCs w:val="24"/>
    </w:rPr>
  </w:style>
  <w:style w:type="paragraph" w:styleId="En-tte">
    <w:name w:val="header"/>
    <w:basedOn w:val="Normal"/>
    <w:link w:val="En-tteCar"/>
    <w:uiPriority w:val="99"/>
    <w:unhideWhenUsed/>
    <w:rsid w:val="00B60AEC"/>
    <w:pPr>
      <w:tabs>
        <w:tab w:val="center" w:pos="4536"/>
        <w:tab w:val="right" w:pos="9072"/>
      </w:tabs>
      <w:spacing w:after="0" w:line="240" w:lineRule="auto"/>
    </w:pPr>
  </w:style>
  <w:style w:type="character" w:customStyle="1" w:styleId="En-tteCar">
    <w:name w:val="En-tête Car"/>
    <w:basedOn w:val="Policepardfaut"/>
    <w:link w:val="En-tte"/>
    <w:uiPriority w:val="99"/>
    <w:rsid w:val="00B60AEC"/>
  </w:style>
  <w:style w:type="paragraph" w:styleId="Pieddepage">
    <w:name w:val="footer"/>
    <w:basedOn w:val="Normal"/>
    <w:link w:val="PieddepageCar"/>
    <w:uiPriority w:val="99"/>
    <w:unhideWhenUsed/>
    <w:rsid w:val="00B60A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23DF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117E"/>
    <w:pPr>
      <w:ind w:left="720"/>
      <w:contextualSpacing/>
    </w:pPr>
  </w:style>
  <w:style w:type="character" w:customStyle="1" w:styleId="Titre1Car">
    <w:name w:val="Titre 1 Car"/>
    <w:basedOn w:val="Policepardfaut"/>
    <w:link w:val="Titre1"/>
    <w:uiPriority w:val="9"/>
    <w:rsid w:val="00A23DF9"/>
    <w:rPr>
      <w:rFonts w:asciiTheme="majorHAnsi" w:eastAsiaTheme="majorEastAsia" w:hAnsiTheme="majorHAnsi" w:cstheme="majorBidi"/>
      <w:b/>
      <w:bCs/>
      <w:color w:val="2E74B5" w:themeColor="accent1" w:themeShade="BF"/>
      <w:sz w:val="28"/>
      <w:szCs w:val="28"/>
    </w:rPr>
  </w:style>
  <w:style w:type="character" w:styleId="Marquedecommentaire">
    <w:name w:val="annotation reference"/>
    <w:basedOn w:val="Policepardfaut"/>
    <w:uiPriority w:val="99"/>
    <w:semiHidden/>
    <w:unhideWhenUsed/>
    <w:rsid w:val="00152FBD"/>
    <w:rPr>
      <w:sz w:val="16"/>
      <w:szCs w:val="16"/>
    </w:rPr>
  </w:style>
  <w:style w:type="paragraph" w:styleId="Commentaire">
    <w:name w:val="annotation text"/>
    <w:basedOn w:val="Normal"/>
    <w:link w:val="CommentaireCar"/>
    <w:uiPriority w:val="99"/>
    <w:semiHidden/>
    <w:unhideWhenUsed/>
    <w:rsid w:val="00152FBD"/>
    <w:pPr>
      <w:spacing w:line="240" w:lineRule="auto"/>
    </w:pPr>
    <w:rPr>
      <w:sz w:val="20"/>
      <w:szCs w:val="20"/>
    </w:rPr>
  </w:style>
  <w:style w:type="character" w:customStyle="1" w:styleId="CommentaireCar">
    <w:name w:val="Commentaire Car"/>
    <w:basedOn w:val="Policepardfaut"/>
    <w:link w:val="Commentaire"/>
    <w:uiPriority w:val="99"/>
    <w:semiHidden/>
    <w:rsid w:val="00152FBD"/>
    <w:rPr>
      <w:sz w:val="20"/>
      <w:szCs w:val="20"/>
    </w:rPr>
  </w:style>
  <w:style w:type="paragraph" w:styleId="Objetducommentaire">
    <w:name w:val="annotation subject"/>
    <w:basedOn w:val="Commentaire"/>
    <w:next w:val="Commentaire"/>
    <w:link w:val="ObjetducommentaireCar"/>
    <w:uiPriority w:val="99"/>
    <w:semiHidden/>
    <w:unhideWhenUsed/>
    <w:rsid w:val="00152FBD"/>
    <w:rPr>
      <w:b/>
      <w:bCs/>
    </w:rPr>
  </w:style>
  <w:style w:type="character" w:customStyle="1" w:styleId="ObjetducommentaireCar">
    <w:name w:val="Objet du commentaire Car"/>
    <w:basedOn w:val="CommentaireCar"/>
    <w:link w:val="Objetducommentaire"/>
    <w:uiPriority w:val="99"/>
    <w:semiHidden/>
    <w:rsid w:val="00152FBD"/>
    <w:rPr>
      <w:b/>
      <w:bCs/>
      <w:sz w:val="20"/>
      <w:szCs w:val="20"/>
    </w:rPr>
  </w:style>
  <w:style w:type="paragraph" w:styleId="Textedebulles">
    <w:name w:val="Balloon Text"/>
    <w:basedOn w:val="Normal"/>
    <w:link w:val="TextedebullesCar"/>
    <w:uiPriority w:val="99"/>
    <w:semiHidden/>
    <w:unhideWhenUsed/>
    <w:rsid w:val="00152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FBD"/>
    <w:rPr>
      <w:rFonts w:ascii="Tahoma" w:hAnsi="Tahoma" w:cs="Tahoma"/>
      <w:sz w:val="16"/>
      <w:szCs w:val="16"/>
    </w:rPr>
  </w:style>
  <w:style w:type="table" w:styleId="Grilledutableau">
    <w:name w:val="Table Grid"/>
    <w:basedOn w:val="TableauNormal"/>
    <w:uiPriority w:val="39"/>
    <w:rsid w:val="0007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8452A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8452A2"/>
    <w:rPr>
      <w:rFonts w:asciiTheme="majorHAnsi" w:eastAsiaTheme="majorEastAsia" w:hAnsiTheme="majorHAnsi" w:cstheme="majorBidi"/>
      <w:i/>
      <w:iCs/>
      <w:color w:val="5B9BD5" w:themeColor="accent1"/>
      <w:spacing w:val="15"/>
      <w:sz w:val="24"/>
      <w:szCs w:val="24"/>
    </w:rPr>
  </w:style>
  <w:style w:type="paragraph" w:styleId="Titre">
    <w:name w:val="Title"/>
    <w:basedOn w:val="Normal"/>
    <w:next w:val="Normal"/>
    <w:link w:val="TitreCar"/>
    <w:qFormat/>
    <w:rsid w:val="005261ED"/>
    <w:pPr>
      <w:pBdr>
        <w:bottom w:val="single" w:sz="8" w:space="4" w:color="4F81BD"/>
      </w:pBdr>
      <w:spacing w:after="300" w:line="240" w:lineRule="auto"/>
      <w:contextualSpacing/>
    </w:pPr>
    <w:rPr>
      <w:rFonts w:eastAsia="Times New Roman" w:cs="Arial"/>
      <w:spacing w:val="5"/>
      <w:kern w:val="28"/>
      <w:sz w:val="24"/>
      <w:szCs w:val="24"/>
    </w:rPr>
  </w:style>
  <w:style w:type="character" w:customStyle="1" w:styleId="TitreCar">
    <w:name w:val="Titre Car"/>
    <w:basedOn w:val="Policepardfaut"/>
    <w:link w:val="Titre"/>
    <w:rsid w:val="005261ED"/>
    <w:rPr>
      <w:rFonts w:eastAsia="Times New Roman" w:cs="Arial"/>
      <w:spacing w:val="5"/>
      <w:kern w:val="28"/>
      <w:sz w:val="24"/>
      <w:szCs w:val="24"/>
    </w:rPr>
  </w:style>
  <w:style w:type="paragraph" w:styleId="En-tte">
    <w:name w:val="header"/>
    <w:basedOn w:val="Normal"/>
    <w:link w:val="En-tteCar"/>
    <w:uiPriority w:val="99"/>
    <w:unhideWhenUsed/>
    <w:rsid w:val="00B60AEC"/>
    <w:pPr>
      <w:tabs>
        <w:tab w:val="center" w:pos="4536"/>
        <w:tab w:val="right" w:pos="9072"/>
      </w:tabs>
      <w:spacing w:after="0" w:line="240" w:lineRule="auto"/>
    </w:pPr>
  </w:style>
  <w:style w:type="character" w:customStyle="1" w:styleId="En-tteCar">
    <w:name w:val="En-tête Car"/>
    <w:basedOn w:val="Policepardfaut"/>
    <w:link w:val="En-tte"/>
    <w:uiPriority w:val="99"/>
    <w:rsid w:val="00B60AEC"/>
  </w:style>
  <w:style w:type="paragraph" w:styleId="Pieddepage">
    <w:name w:val="footer"/>
    <w:basedOn w:val="Normal"/>
    <w:link w:val="PieddepageCar"/>
    <w:uiPriority w:val="99"/>
    <w:unhideWhenUsed/>
    <w:rsid w:val="00B60A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0464">
      <w:bodyDiv w:val="1"/>
      <w:marLeft w:val="0"/>
      <w:marRight w:val="0"/>
      <w:marTop w:val="0"/>
      <w:marBottom w:val="0"/>
      <w:divBdr>
        <w:top w:val="none" w:sz="0" w:space="0" w:color="auto"/>
        <w:left w:val="none" w:sz="0" w:space="0" w:color="auto"/>
        <w:bottom w:val="none" w:sz="0" w:space="0" w:color="auto"/>
        <w:right w:val="none" w:sz="0" w:space="0" w:color="auto"/>
      </w:divBdr>
    </w:div>
    <w:div w:id="7005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3277</Words>
  <Characters>18026</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Jaquemine</dc:creator>
  <cp:lastModifiedBy>relecteur</cp:lastModifiedBy>
  <cp:revision>6</cp:revision>
  <dcterms:created xsi:type="dcterms:W3CDTF">2018-05-18T15:41:00Z</dcterms:created>
  <dcterms:modified xsi:type="dcterms:W3CDTF">2018-05-22T09:42:00Z</dcterms:modified>
</cp:coreProperties>
</file>